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020" w:type="dxa"/>
        <w:jc w:val="center"/>
        <w:tblCellSpacing w:w="0" w:type="dxa"/>
        <w:tblInd w:w="-5368" w:type="dxa"/>
        <w:tblLayout w:type="fixed"/>
        <w:tblCellMar>
          <w:top w:w="30" w:type="dxa"/>
          <w:left w:w="30" w:type="dxa"/>
          <w:bottom w:w="30" w:type="dxa"/>
          <w:right w:w="30" w:type="dxa"/>
        </w:tblCellMar>
      </w:tblPr>
      <w:tblGrid>
        <w:gridCol w:w="6"/>
        <w:gridCol w:w="1862"/>
        <w:gridCol w:w="10481"/>
        <w:gridCol w:w="1671"/>
      </w:tblGrid>
      <w:tr>
        <w:tblPrEx>
          <w:tblLayout w:type="fixed"/>
          <w:tblCellMar>
            <w:top w:w="30" w:type="dxa"/>
            <w:left w:w="30" w:type="dxa"/>
            <w:bottom w:w="30" w:type="dxa"/>
            <w:right w:w="30" w:type="dxa"/>
          </w:tblCellMar>
        </w:tblPrEx>
        <w:trPr>
          <w:trHeight w:val="611"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惩戒措施</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法律及政策依据</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实施部门</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（一）通过“信用中国”网站、国家企业信用信息公示系统等平台向社会公布。</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《国务院办公厅关于运用大数据加强对市场主体服务和监管的若干意见》（国办发〔</w:t>
            </w:r>
            <w:r>
              <w:rPr>
                <w:rFonts w:ascii="Tahoma" w:hAnsi="Tahoma" w:eastAsia="宋体" w:cs="Tahoma"/>
                <w:kern w:val="0"/>
                <w:sz w:val="24"/>
                <w:szCs w:val="24"/>
              </w:rPr>
              <w:t>2015</w:t>
            </w:r>
            <w:r>
              <w:rPr>
                <w:rFonts w:hint="eastAsia" w:ascii="Tahoma" w:hAnsi="Tahoma" w:eastAsia="宋体" w:cs="Tahoma"/>
                <w:kern w:val="0"/>
                <w:sz w:val="24"/>
                <w:szCs w:val="24"/>
              </w:rPr>
              <w:t>〕</w:t>
            </w:r>
            <w:r>
              <w:rPr>
                <w:rFonts w:ascii="Tahoma" w:hAnsi="Tahoma" w:eastAsia="宋体" w:cs="Tahoma"/>
                <w:kern w:val="0"/>
                <w:sz w:val="24"/>
                <w:szCs w:val="24"/>
              </w:rPr>
              <w:t>51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九条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w:t>
            </w:r>
            <w:bookmarkStart w:id="0" w:name="_GoBack"/>
            <w:bookmarkEnd w:id="0"/>
            <w:r>
              <w:rPr>
                <w:rFonts w:hint="eastAsia" w:ascii="Tahoma" w:hAnsi="Tahoma" w:eastAsia="宋体" w:cs="Tahoma"/>
                <w:kern w:val="0"/>
                <w:sz w:val="24"/>
                <w:szCs w:val="24"/>
              </w:rPr>
              <w:t>，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《企业信息公示暂行条例》（国务院令第</w:t>
            </w:r>
            <w:r>
              <w:rPr>
                <w:rFonts w:ascii="Tahoma" w:hAnsi="Tahoma" w:eastAsia="宋体" w:cs="Tahoma"/>
                <w:kern w:val="0"/>
                <w:sz w:val="24"/>
                <w:szCs w:val="24"/>
              </w:rPr>
              <w:t>654</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第七条工商行政管理部门以外的其他政府部门（以下简称其他政府部门）应当公示其在履行职责过程中产生的下列企业信息：</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1</w:t>
            </w:r>
            <w:r>
              <w:rPr>
                <w:rFonts w:hint="eastAsia" w:ascii="Tahoma" w:hAnsi="Tahoma" w:eastAsia="宋体" w:cs="Tahoma"/>
                <w:kern w:val="0"/>
                <w:sz w:val="24"/>
                <w:szCs w:val="24"/>
              </w:rPr>
              <w:t>）行政许可准予、变更、延续信息；</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2</w:t>
            </w:r>
            <w:r>
              <w:rPr>
                <w:rFonts w:hint="eastAsia" w:ascii="Tahoma" w:hAnsi="Tahoma" w:eastAsia="宋体" w:cs="Tahoma"/>
                <w:kern w:val="0"/>
                <w:sz w:val="24"/>
                <w:szCs w:val="24"/>
              </w:rPr>
              <w:t>）行政处罚信息；</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3</w:t>
            </w:r>
            <w:r>
              <w:rPr>
                <w:rFonts w:hint="eastAsia" w:ascii="Tahoma" w:hAnsi="Tahoma" w:eastAsia="宋体" w:cs="Tahoma"/>
                <w:kern w:val="0"/>
                <w:sz w:val="24"/>
                <w:szCs w:val="24"/>
              </w:rPr>
              <w:t>）其他依法应当公示的信息。</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《中华人民共和国政府信息公开条例》（国务院令第</w:t>
            </w:r>
            <w:r>
              <w:rPr>
                <w:rFonts w:ascii="Tahoma" w:hAnsi="Tahoma" w:eastAsia="宋体" w:cs="Tahoma"/>
                <w:kern w:val="0"/>
                <w:sz w:val="24"/>
                <w:szCs w:val="24"/>
              </w:rPr>
              <w:t>492</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第九条行政机关对符合下列基本要求之一的政府信息应当主动公开：</w:t>
            </w:r>
          </w:p>
          <w:p>
            <w:pPr>
              <w:widowControl/>
              <w:spacing w:line="240" w:lineRule="auto"/>
              <w:ind w:firstLine="360" w:firstLineChars="15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1</w:t>
            </w:r>
            <w:r>
              <w:rPr>
                <w:rFonts w:hint="eastAsia" w:ascii="Tahoma" w:hAnsi="Tahoma" w:eastAsia="宋体" w:cs="Tahoma"/>
                <w:kern w:val="0"/>
                <w:sz w:val="24"/>
                <w:szCs w:val="24"/>
              </w:rPr>
              <w:t>）涉及公民、法人或者其他组织切身利益的；</w:t>
            </w:r>
          </w:p>
          <w:p>
            <w:pPr>
              <w:widowControl/>
              <w:spacing w:line="240" w:lineRule="auto"/>
              <w:ind w:firstLine="360" w:firstLineChars="15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2</w:t>
            </w:r>
            <w:r>
              <w:rPr>
                <w:rFonts w:hint="eastAsia" w:ascii="Tahoma" w:hAnsi="Tahoma" w:eastAsia="宋体" w:cs="Tahoma"/>
                <w:kern w:val="0"/>
                <w:sz w:val="24"/>
                <w:szCs w:val="24"/>
              </w:rPr>
              <w:t>）需要社会公众广泛知晓或者参与的；</w:t>
            </w:r>
          </w:p>
          <w:p>
            <w:pPr>
              <w:widowControl/>
              <w:spacing w:line="240" w:lineRule="auto"/>
              <w:ind w:firstLine="360" w:firstLineChars="150"/>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3</w:t>
            </w:r>
            <w:r>
              <w:rPr>
                <w:rFonts w:hint="eastAsia" w:ascii="Tahoma" w:hAnsi="Tahoma" w:eastAsia="宋体" w:cs="Tahoma"/>
                <w:kern w:val="0"/>
                <w:sz w:val="24"/>
                <w:szCs w:val="24"/>
              </w:rPr>
              <w:t>）反映本行政机关机构设置、职能、办事程序等情况的；</w:t>
            </w:r>
          </w:p>
          <w:p>
            <w:pPr>
              <w:widowControl/>
              <w:spacing w:line="240" w:lineRule="auto"/>
              <w:ind w:firstLine="436" w:firstLineChars="182"/>
              <w:jc w:val="left"/>
              <w:rPr>
                <w:rFonts w:ascii="Tahoma" w:hAnsi="Tahoma" w:eastAsia="宋体" w:cs="Tahoma"/>
                <w:kern w:val="0"/>
                <w:sz w:val="24"/>
                <w:szCs w:val="24"/>
              </w:rPr>
            </w:pPr>
            <w:r>
              <w:rPr>
                <w:rFonts w:hint="eastAsia" w:ascii="Tahoma" w:hAnsi="Tahoma" w:eastAsia="宋体" w:cs="Tahoma"/>
                <w:kern w:val="0"/>
                <w:sz w:val="24"/>
                <w:szCs w:val="24"/>
              </w:rPr>
              <w:t>（</w:t>
            </w:r>
            <w:r>
              <w:rPr>
                <w:rFonts w:ascii="Tahoma" w:hAnsi="Tahoma" w:eastAsia="宋体" w:cs="Tahoma"/>
                <w:kern w:val="0"/>
                <w:sz w:val="24"/>
                <w:szCs w:val="24"/>
              </w:rPr>
              <w:t>4</w:t>
            </w:r>
            <w:r>
              <w:rPr>
                <w:rFonts w:hint="eastAsia" w:ascii="Tahoma" w:hAnsi="Tahoma" w:eastAsia="宋体" w:cs="Tahoma"/>
                <w:kern w:val="0"/>
                <w:sz w:val="24"/>
                <w:szCs w:val="24"/>
              </w:rPr>
              <w:t>）其他依照法律、法规和国家有关规定应当主动公开的。</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color w:val="000000"/>
                <w:kern w:val="0"/>
                <w:sz w:val="24"/>
                <w:szCs w:val="24"/>
              </w:rPr>
            </w:pPr>
            <w:r>
              <w:rPr>
                <w:rFonts w:hint="eastAsia" w:ascii="Tahoma" w:hAnsi="Tahoma" w:eastAsia="宋体" w:cs="Tahoma"/>
                <w:color w:val="000000"/>
                <w:kern w:val="0"/>
                <w:sz w:val="24"/>
                <w:szCs w:val="24"/>
              </w:rPr>
              <w:t>区数字办</w:t>
            </w:r>
            <w:r>
              <w:rPr>
                <w:rFonts w:hint="eastAsia" w:ascii="Tahoma" w:hAnsi="Tahoma" w:eastAsia="宋体" w:cs="Tahoma"/>
                <w:kern w:val="0"/>
                <w:sz w:val="24"/>
                <w:szCs w:val="24"/>
              </w:rPr>
              <w:t>、发改局、市场监管局</w:t>
            </w:r>
          </w:p>
        </w:tc>
      </w:tr>
      <w:tr>
        <w:tblPrEx>
          <w:tblLayout w:type="fixed"/>
          <w:tblCellMar>
            <w:top w:w="30" w:type="dxa"/>
            <w:left w:w="30" w:type="dxa"/>
            <w:bottom w:w="30" w:type="dxa"/>
            <w:right w:w="30" w:type="dxa"/>
          </w:tblCellMar>
        </w:tblPrEx>
        <w:trPr>
          <w:trHeight w:val="7689"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（二）作为重点监管对象，加大劳动保障监察检查频次。</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《国务院关于促进市场公平竞争维护市场正常秩序的若干意见》（国发〔</w:t>
            </w:r>
            <w:r>
              <w:rPr>
                <w:rFonts w:ascii="宋体" w:hAnsi="宋体" w:eastAsia="宋体" w:cs="宋体"/>
                <w:kern w:val="0"/>
                <w:sz w:val="24"/>
                <w:szCs w:val="24"/>
              </w:rPr>
              <w:t>2014</w:t>
            </w:r>
            <w:r>
              <w:rPr>
                <w:rFonts w:hint="eastAsia" w:ascii="宋体" w:hAnsi="宋体" w:eastAsia="宋体" w:cs="宋体"/>
                <w:kern w:val="0"/>
                <w:sz w:val="24"/>
                <w:szCs w:val="24"/>
              </w:rPr>
              <w:t>〕</w:t>
            </w:r>
            <w:r>
              <w:rPr>
                <w:rFonts w:ascii="宋体" w:hAnsi="宋体" w:eastAsia="宋体" w:cs="宋体"/>
                <w:kern w:val="0"/>
                <w:sz w:val="24"/>
                <w:szCs w:val="24"/>
              </w:rPr>
              <w:t>20</w:t>
            </w:r>
            <w:r>
              <w:rPr>
                <w:rFonts w:hint="eastAsia" w:ascii="宋体" w:hAnsi="宋体" w:eastAsia="宋体" w:cs="宋体"/>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《企业劳动保障守法诚信等级评价办法》（人社部规〔</w:t>
            </w:r>
            <w:r>
              <w:rPr>
                <w:rFonts w:ascii="Tahoma" w:hAnsi="Tahoma" w:eastAsia="宋体" w:cs="Tahoma"/>
                <w:kern w:val="0"/>
                <w:sz w:val="24"/>
                <w:szCs w:val="24"/>
              </w:rPr>
              <w:t>2016</w:t>
            </w:r>
            <w:r>
              <w:rPr>
                <w:rFonts w:hint="eastAsia" w:ascii="Tahoma" w:hAnsi="Tahoma" w:eastAsia="宋体" w:cs="Tahoma"/>
                <w:kern w:val="0"/>
                <w:sz w:val="24"/>
                <w:szCs w:val="24"/>
              </w:rPr>
              <w:t>〕</w:t>
            </w:r>
            <w:r>
              <w:rPr>
                <w:rFonts w:ascii="Tahoma" w:hAnsi="Tahoma" w:eastAsia="宋体" w:cs="Tahoma"/>
                <w:kern w:val="0"/>
                <w:sz w:val="24"/>
                <w:szCs w:val="24"/>
              </w:rPr>
              <w:t>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第十条人力资源社会保障行政部门根据企业劳动保障守法态信等级评价情况，对劳动保障监察管辖范围内的企业实行分类监管。</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第十一条对于被评为</w:t>
            </w:r>
            <w:r>
              <w:rPr>
                <w:rFonts w:ascii="Tahoma" w:hAnsi="Tahoma" w:eastAsia="宋体" w:cs="Tahoma"/>
                <w:kern w:val="0"/>
                <w:sz w:val="24"/>
                <w:szCs w:val="24"/>
              </w:rPr>
              <w:t>C</w:t>
            </w:r>
            <w:r>
              <w:rPr>
                <w:rFonts w:hint="eastAsia" w:ascii="Tahoma" w:hAnsi="Tahoma" w:eastAsia="宋体" w:cs="Tahoma"/>
                <w:kern w:val="0"/>
                <w:sz w:val="24"/>
                <w:szCs w:val="24"/>
              </w:rPr>
              <w:t>级的企业。人力资源社会保障行政部门应对其主要负责人、直接责任人进行约谈，敦促其遵守劳动保障法律、法规和规章。</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《重大劳动保障违法行为社会公布办法》（人力资源社会保障部令第</w:t>
            </w:r>
            <w:r>
              <w:rPr>
                <w:rFonts w:ascii="Tahoma" w:hAnsi="Tahoma" w:eastAsia="宋体" w:cs="Tahoma"/>
                <w:kern w:val="0"/>
                <w:sz w:val="24"/>
                <w:szCs w:val="24"/>
              </w:rPr>
              <w:t>29</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条人力资源社会保障行政部门应当将重大劳动保障违法行为及其社会公布情况记入用人单位劳动保障守法诚信档案，纳入人力资源社会保障信用体系，并与其他部门和社会组织依法依规实施信息共享和联合惩戒。</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区人社局</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（三）依法暂停审批其新的重大项目申报，核减、停止拨付或收回政府补贴资金。</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《国家高技术产业发展项目管理暂行办法》（国家发展改革委令第</w:t>
            </w:r>
            <w:r>
              <w:rPr>
                <w:rFonts w:ascii="Tahoma" w:hAnsi="Tahoma" w:eastAsia="宋体" w:cs="Tahoma"/>
                <w:kern w:val="0"/>
                <w:sz w:val="24"/>
                <w:szCs w:val="24"/>
              </w:rPr>
              <w:t>43</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第三十九条项目单位有下列行为之一的，国家发展改革委可以责令其限期整改，核减、停止拨付或收回国家补贴资金，并可视情节轻重提请或移交有关机关依法追究有关责任人的行政或法律责任：</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（一）提供虚假情况，骗取国家补贴资金的；</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（二）转移、侵占或者挪用国家补贴资金的；</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（三）擅自改变项目总体目标和主要建设内容的；</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（四）无违规行为，但无正当理由未按要求完成项目总体目标延期两年未验收的；</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（五）其他违反国家法律法规和本办法规定的行为。</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区发改局等有关单位</w:t>
            </w:r>
          </w:p>
        </w:tc>
      </w:tr>
      <w:tr>
        <w:tblPrEx>
          <w:tblLayout w:type="fixed"/>
          <w:tblCellMar>
            <w:top w:w="30" w:type="dxa"/>
            <w:left w:w="30" w:type="dxa"/>
            <w:bottom w:w="30" w:type="dxa"/>
            <w:right w:w="30" w:type="dxa"/>
          </w:tblCellMar>
        </w:tblPrEx>
        <w:trPr>
          <w:trHeight w:val="4503"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（四）依法限制参与工程建设项目招投标活动。</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《工程建设项目施工招标投标办法》（国家发展计划委员会令第</w:t>
            </w:r>
            <w:r>
              <w:rPr>
                <w:rFonts w:ascii="Tahoma" w:hAnsi="Tahoma" w:eastAsia="宋体" w:cs="Tahoma"/>
                <w:kern w:val="0"/>
                <w:sz w:val="24"/>
                <w:szCs w:val="24"/>
              </w:rPr>
              <w:t>30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第二十条资格审查应主要审查潜在投标人或者投标人是否符合下列条件：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（一）具有独立订立合同的权利；</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（二）具有履行合同的能力，包括专业、技术资格和能力，资金、设备和其他物质设施状况，管理能力，经验、信誉和相应的从业人员；</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（三）没有处于被责令停业，投标资格被取消，财产被接管、冻结，破产状态；</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（四）在最近三年内没有骗取中标和严重违约及重大工程质量问题；</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五）国家规定的其他资格条件。资格审查时，招标人不得以不合理的条件限制、排斥潜在投标人或者投标人，不得对潜在投标人或者投标人实行歧视待遇。任何单位和个人不得以行政手段或者其他不合理方式限制投标人的数量。</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《国务院办公厅关于运用大数据加强对市场主体服务和监管的若干意见》（国办发〔</w:t>
            </w:r>
            <w:r>
              <w:rPr>
                <w:rFonts w:ascii="Tahoma" w:hAnsi="Tahoma" w:eastAsia="宋体" w:cs="Tahoma"/>
                <w:kern w:val="0"/>
                <w:sz w:val="24"/>
                <w:szCs w:val="24"/>
              </w:rPr>
              <w:t>2015</w:t>
            </w:r>
            <w:r>
              <w:rPr>
                <w:rFonts w:hint="eastAsia" w:ascii="Tahoma" w:hAnsi="Tahoma" w:eastAsia="宋体" w:cs="Tahoma"/>
                <w:kern w:val="0"/>
                <w:sz w:val="24"/>
                <w:szCs w:val="24"/>
              </w:rPr>
              <w:t>〕</w:t>
            </w:r>
            <w:r>
              <w:rPr>
                <w:rFonts w:ascii="Tahoma" w:hAnsi="Tahoma" w:eastAsia="宋体" w:cs="Tahoma"/>
                <w:kern w:val="0"/>
                <w:sz w:val="24"/>
                <w:szCs w:val="24"/>
              </w:rPr>
              <w:t>51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区行政服务中心、区经信局、区</w:t>
            </w:r>
            <w:r>
              <w:rPr>
                <w:rFonts w:hint="eastAsia" w:ascii="Tahoma" w:hAnsi="Tahoma" w:eastAsia="宋体" w:cs="Tahoma"/>
                <w:kern w:val="0"/>
                <w:sz w:val="24"/>
                <w:szCs w:val="24"/>
                <w:lang w:eastAsia="zh-CN"/>
              </w:rPr>
              <w:t>城乡建设</w:t>
            </w:r>
            <w:r>
              <w:rPr>
                <w:rFonts w:hint="eastAsia" w:ascii="Tahoma" w:hAnsi="Tahoma" w:eastAsia="宋体" w:cs="Tahoma"/>
                <w:kern w:val="0"/>
                <w:sz w:val="24"/>
                <w:szCs w:val="24"/>
              </w:rPr>
              <w:t>局、交通运输局、农业农村局</w:t>
            </w:r>
          </w:p>
        </w:tc>
      </w:tr>
      <w:tr>
        <w:tblPrEx>
          <w:tblLayout w:type="fixed"/>
          <w:tblCellMar>
            <w:top w:w="30" w:type="dxa"/>
            <w:left w:w="30" w:type="dxa"/>
            <w:bottom w:w="30" w:type="dxa"/>
            <w:right w:w="30" w:type="dxa"/>
          </w:tblCellMar>
        </w:tblPrEx>
        <w:trPr>
          <w:trHeight w:val="2743"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（五）依法限制取得或终止其基础设施和公用事业特许经营。</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《基础设施和公用事业特许经营管理办法》（国家发展改革委等六部委令第</w:t>
            </w:r>
            <w:r>
              <w:rPr>
                <w:rFonts w:ascii="Tahoma" w:hAnsi="Tahoma" w:eastAsia="宋体" w:cs="Tahoma"/>
                <w:kern w:val="0"/>
                <w:sz w:val="24"/>
                <w:szCs w:val="24"/>
              </w:rPr>
              <w:t>25</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五十三条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第五十六条县级以上人民政府有关部门应当对特许经营者及其从业人员的不良行为建立信用记录，纳入全国统一的信用信息共享交换平台。对严重违法失信行为依法予以曝光，并会同有关部门实施联合惩戒。</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区财政局、区</w:t>
            </w:r>
            <w:r>
              <w:rPr>
                <w:rFonts w:hint="eastAsia" w:ascii="宋体" w:hAnsi="宋体" w:eastAsia="宋体" w:cs="宋体"/>
                <w:kern w:val="0"/>
                <w:sz w:val="24"/>
                <w:szCs w:val="24"/>
                <w:lang w:eastAsia="zh-CN"/>
              </w:rPr>
              <w:t>城乡建设</w:t>
            </w:r>
            <w:r>
              <w:rPr>
                <w:rFonts w:hint="eastAsia" w:ascii="宋体" w:hAnsi="宋体" w:eastAsia="宋体" w:cs="宋体"/>
                <w:kern w:val="0"/>
                <w:sz w:val="24"/>
                <w:szCs w:val="24"/>
              </w:rPr>
              <w:t>局、交通运输局、农业农村局</w:t>
            </w:r>
          </w:p>
        </w:tc>
      </w:tr>
      <w:tr>
        <w:tblPrEx>
          <w:tblLayout w:type="fixed"/>
          <w:tblCellMar>
            <w:top w:w="30" w:type="dxa"/>
            <w:left w:w="30" w:type="dxa"/>
            <w:bottom w:w="30" w:type="dxa"/>
            <w:right w:w="30" w:type="dxa"/>
          </w:tblCellMar>
        </w:tblPrEx>
        <w:trPr>
          <w:trHeight w:val="7671"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（六）依法限制、暂停或取消政策性资金、政府补贴性资金和社会保障资金支持。</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r>
              <w:rPr>
                <w:rFonts w:ascii="Tahoma" w:hAnsi="Tahoma" w:eastAsia="宋体" w:cs="Tahoma"/>
                <w:kern w:val="0"/>
                <w:sz w:val="24"/>
                <w:szCs w:val="24"/>
              </w:rPr>
              <w:t> </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《国务院关于建立完善守信联合激励和失信联合惩戒制度加快推进社会诚信建设的指导意见》（国发〔</w:t>
            </w:r>
            <w:r>
              <w:rPr>
                <w:rFonts w:ascii="Tahoma" w:hAnsi="Tahoma" w:eastAsia="宋体" w:cs="Tahoma"/>
                <w:kern w:val="0"/>
                <w:sz w:val="24"/>
                <w:szCs w:val="24"/>
              </w:rPr>
              <w:t>2016</w:t>
            </w:r>
            <w:r>
              <w:rPr>
                <w:rFonts w:hint="eastAsia" w:ascii="Tahoma" w:hAnsi="Tahoma" w:eastAsia="宋体" w:cs="Tahoma"/>
                <w:kern w:val="0"/>
                <w:sz w:val="24"/>
                <w:szCs w:val="24"/>
              </w:rPr>
              <w:t>〕</w:t>
            </w:r>
            <w:r>
              <w:rPr>
                <w:rFonts w:ascii="Tahoma" w:hAnsi="Tahoma" w:eastAsia="宋体" w:cs="Tahoma"/>
                <w:kern w:val="0"/>
                <w:sz w:val="24"/>
                <w:szCs w:val="24"/>
              </w:rPr>
              <w:t>33</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区发改局、人社局、财政局、国资委等有关单位</w:t>
            </w:r>
          </w:p>
        </w:tc>
      </w:tr>
      <w:tr>
        <w:tblPrEx>
          <w:tblLayout w:type="fixed"/>
          <w:tblCellMar>
            <w:top w:w="30" w:type="dxa"/>
            <w:left w:w="30" w:type="dxa"/>
            <w:bottom w:w="30" w:type="dxa"/>
            <w:right w:w="30" w:type="dxa"/>
          </w:tblCellMar>
        </w:tblPrEx>
        <w:trPr>
          <w:trHeight w:val="6309" w:hRule="atLeast"/>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（七）在一定期限内依法禁止其作为供应商参与政府采购活动。</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《中华人民共和国政府采购法》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第二十二条供应商参加政府采购活动应当具备下列条件：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（一）具有独立承担民事责任的能力；</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（二）具有良好的商业信誉和健全的财务会计制度；</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（三）具有履行合同所必需的设备和专业技术能力；</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（四）有依法缴纳税收和社会保障资金的良好记录；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（五）参加政府采购活动前三年内，在经营活动中没有重大违法记录；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（六）法律、行政法规规定的其他条件。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采购人可以根据采购项目的特殊要求，规定供应商的特定条件，但不得以不合理的条件对供应商实行差别待遇或者歧视待遇。</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《中华人民共和国政府采购法实施条例》（中华人民共和国国务院令第</w:t>
            </w:r>
            <w:r>
              <w:rPr>
                <w:rFonts w:ascii="Tahoma" w:hAnsi="Tahoma" w:eastAsia="宋体" w:cs="Tahoma"/>
                <w:kern w:val="0"/>
                <w:sz w:val="24"/>
                <w:szCs w:val="24"/>
              </w:rPr>
              <w:t>658</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第十九条政府采购法第二十二条第一款第五项所称重大违法记录，是指供应商因违法经营受到刑事处罚或者责令停产停业、吊销许可证或者执照、较大数额罚款等行政处罚。</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供应商在参加政府采购活动前</w:t>
            </w:r>
            <w:r>
              <w:rPr>
                <w:rFonts w:ascii="Tahoma" w:hAnsi="Tahoma" w:eastAsia="宋体" w:cs="Tahoma"/>
                <w:kern w:val="0"/>
                <w:sz w:val="24"/>
                <w:szCs w:val="24"/>
              </w:rPr>
              <w:t>3</w:t>
            </w:r>
            <w:r>
              <w:rPr>
                <w:rFonts w:hint="eastAsia" w:ascii="Tahoma" w:hAnsi="Tahoma" w:eastAsia="宋体" w:cs="Tahoma"/>
                <w:kern w:val="0"/>
                <w:sz w:val="24"/>
                <w:szCs w:val="24"/>
              </w:rPr>
              <w:t>年内因违法经营被禁止在一定期限内参加政府采购活动，期限届满的，可以参加政府采购活动。</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区财政局</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（八）依法限制取得政府供应土地。</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《企业信息公示暂行条例》（国务院令第</w:t>
            </w:r>
            <w:r>
              <w:rPr>
                <w:rFonts w:ascii="Tahoma" w:hAnsi="Tahoma" w:eastAsia="宋体" w:cs="Tahoma"/>
                <w:kern w:val="0"/>
                <w:sz w:val="24"/>
                <w:szCs w:val="24"/>
              </w:rPr>
              <w:t>654</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八条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禁入。</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区自然资源局</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（九）在上市公司或非上市公众公司收购的事中事后监管中，对有严重违法失信行为的单位予以重点关注。</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《上市公司收购管理办法》（中国证券监督管理委员会令第</w:t>
            </w:r>
            <w:r>
              <w:rPr>
                <w:rFonts w:ascii="Tahoma" w:hAnsi="Tahoma" w:eastAsia="宋体" w:cs="Tahoma"/>
                <w:kern w:val="0"/>
                <w:sz w:val="24"/>
                <w:szCs w:val="24"/>
              </w:rPr>
              <w:t>108</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第四条上市公司的收购及相关股份权益变动活动不得危害国家安全和社会公共利益。</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第六条任何人不得利用上市公司的收购损害被收购公司及其股东的合法权益。</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有下列情形之一的，不得收购上市公司：</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（二）收购人最近</w:t>
            </w:r>
            <w:r>
              <w:rPr>
                <w:rFonts w:ascii="Tahoma" w:hAnsi="Tahoma" w:eastAsia="宋体" w:cs="Tahoma"/>
                <w:kern w:val="0"/>
                <w:sz w:val="24"/>
                <w:szCs w:val="24"/>
              </w:rPr>
              <w:t>3</w:t>
            </w:r>
            <w:r>
              <w:rPr>
                <w:rFonts w:hint="eastAsia" w:ascii="Tahoma" w:hAnsi="Tahoma" w:eastAsia="宋体" w:cs="Tahoma"/>
                <w:kern w:val="0"/>
                <w:sz w:val="24"/>
                <w:szCs w:val="24"/>
              </w:rPr>
              <w:t>年有重大违法行为或者涉嫌有重大违法行为；</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《非上市公众公司收购管理办法》（中国证券监督管理委员会令第</w:t>
            </w:r>
            <w:r>
              <w:rPr>
                <w:rFonts w:ascii="Tahoma" w:hAnsi="Tahoma" w:eastAsia="宋体" w:cs="Tahoma"/>
                <w:kern w:val="0"/>
                <w:sz w:val="24"/>
                <w:szCs w:val="24"/>
              </w:rPr>
              <w:t>102</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第六条进行公众公司收购，收购人及其实际控制人应当具有良好的诚信记录，收购人及其实际控制人为法人的，应当具有健全的公司治理机制。任何人不得利用公众公司收购损害被收购公司及其股东的合法权益。</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有下列情形之一的，不得收购公众公司：</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（二）收购人最近</w:t>
            </w:r>
            <w:r>
              <w:rPr>
                <w:rFonts w:ascii="Tahoma" w:hAnsi="Tahoma" w:eastAsia="宋体" w:cs="Tahoma"/>
                <w:kern w:val="0"/>
                <w:sz w:val="24"/>
                <w:szCs w:val="24"/>
              </w:rPr>
              <w:t>2</w:t>
            </w:r>
            <w:r>
              <w:rPr>
                <w:rFonts w:hint="eastAsia" w:ascii="Tahoma" w:hAnsi="Tahoma" w:eastAsia="宋体" w:cs="Tahoma"/>
                <w:kern w:val="0"/>
                <w:sz w:val="24"/>
                <w:szCs w:val="24"/>
              </w:rPr>
              <w:t>年有重大违法行为或者涉嫌有重大违法行为；</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区金融办</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（十）限制其取得认证机构资质；限制其获得认证证书。</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二、推进重点领域诚信建设</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（一）加快推进政务诚信建设。</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（二）深入推进商务诚信建设。</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　　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《中华人民共和国认证认可条例》（国务院令第</w:t>
            </w:r>
            <w:r>
              <w:rPr>
                <w:rFonts w:ascii="Tahoma" w:hAnsi="Tahoma" w:eastAsia="宋体" w:cs="Tahoma"/>
                <w:kern w:val="0"/>
                <w:sz w:val="24"/>
                <w:szCs w:val="24"/>
              </w:rPr>
              <w:t>390</w:t>
            </w:r>
            <w:r>
              <w:rPr>
                <w:rFonts w:hint="eastAsia" w:ascii="Tahoma" w:hAnsi="Tahoma" w:eastAsia="宋体" w:cs="Tahoma"/>
                <w:kern w:val="0"/>
                <w:sz w:val="24"/>
                <w:szCs w:val="24"/>
              </w:rPr>
              <w:t>号，国务院令第</w:t>
            </w:r>
            <w:r>
              <w:rPr>
                <w:rFonts w:ascii="Tahoma" w:hAnsi="Tahoma" w:eastAsia="宋体" w:cs="Tahoma"/>
                <w:kern w:val="0"/>
                <w:sz w:val="24"/>
                <w:szCs w:val="24"/>
              </w:rPr>
              <w:t>666</w:t>
            </w:r>
            <w:r>
              <w:rPr>
                <w:rFonts w:hint="eastAsia" w:ascii="Tahoma" w:hAnsi="Tahoma" w:eastAsia="宋体" w:cs="Tahoma"/>
                <w:kern w:val="0"/>
                <w:sz w:val="24"/>
                <w:szCs w:val="24"/>
              </w:rPr>
              <w:t>号修订）</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第六条</w:t>
            </w:r>
            <w:r>
              <w:rPr>
                <w:rFonts w:ascii="Tahoma" w:hAnsi="Tahoma" w:eastAsia="宋体" w:cs="Tahoma"/>
                <w:kern w:val="0"/>
                <w:sz w:val="24"/>
                <w:szCs w:val="24"/>
              </w:rPr>
              <w:t xml:space="preserve">  </w:t>
            </w:r>
            <w:r>
              <w:rPr>
                <w:rFonts w:hint="eastAsia" w:ascii="Tahoma" w:hAnsi="Tahoma" w:eastAsia="宋体" w:cs="Tahoma"/>
                <w:kern w:val="0"/>
                <w:sz w:val="24"/>
                <w:szCs w:val="24"/>
              </w:rPr>
              <w:t>认证认可活动应当遵循客观独立、公正公开、诚实信用的原则。</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color w:val="000000"/>
                <w:kern w:val="0"/>
                <w:sz w:val="24"/>
                <w:szCs w:val="24"/>
              </w:rPr>
              <w:t>区市场监管局</w:t>
            </w:r>
          </w:p>
        </w:tc>
      </w:tr>
      <w:tr>
        <w:tblPrEx>
          <w:tblLayout w:type="fixed"/>
          <w:tblCellMar>
            <w:top w:w="30" w:type="dxa"/>
            <w:left w:w="30" w:type="dxa"/>
            <w:bottom w:w="30" w:type="dxa"/>
            <w:right w:w="30" w:type="dxa"/>
          </w:tblCellMar>
        </w:tblPrEx>
        <w:trPr>
          <w:tblCellSpacing w:w="0" w:type="dxa"/>
          <w:jc w:val="center"/>
        </w:trPr>
        <w:tc>
          <w:tcPr>
            <w:tcW w:w="186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（十一）将违法失信信息纳入检验检疫进出口企业信用管理系统，依法对其进行信用评级和监督。</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《出入境检验检疫企业信用管理办法》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第三条企业信用信息包括企业基本信息、企业守法信息、企业质量管理能力信息、产品质量信息、检验检疫监管信息、社会对企业信用评价信息以及其他相关信息。</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（六）社会对企业信用评价信息包括政府管理部门情况通报、媒体报道及社会公众举报投诉等情况。</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《国务院关于印发社会信用体系建设规划纲要（</w:t>
            </w:r>
            <w:r>
              <w:rPr>
                <w:rFonts w:ascii="Tahoma" w:hAnsi="Tahoma" w:eastAsia="宋体" w:cs="Tahoma"/>
                <w:kern w:val="0"/>
                <w:sz w:val="24"/>
                <w:szCs w:val="24"/>
              </w:rPr>
              <w:t>2014—2020</w:t>
            </w:r>
            <w:r>
              <w:rPr>
                <w:rFonts w:hint="eastAsia" w:ascii="Tahoma" w:hAnsi="Tahoma" w:eastAsia="宋体" w:cs="Tahoma"/>
                <w:kern w:val="0"/>
                <w:sz w:val="24"/>
                <w:szCs w:val="24"/>
              </w:rPr>
              <w:t>年）的通知》（国发〔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21</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区市场监管局</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（十二）对因未履行支付工资生效法律文书确定的义务被人民法院按照有关规定依法采取限制消费措施或依法纳入失信被执行人名单的，限制乘坐飞机、列车软卧、</w:t>
            </w:r>
            <w:r>
              <w:rPr>
                <w:rFonts w:ascii="宋体" w:hAnsi="宋体" w:eastAsia="宋体" w:cs="宋体"/>
                <w:color w:val="000000"/>
                <w:kern w:val="0"/>
                <w:sz w:val="24"/>
                <w:szCs w:val="24"/>
              </w:rPr>
              <w:t>G</w:t>
            </w:r>
            <w:r>
              <w:rPr>
                <w:rFonts w:hint="eastAsia" w:ascii="宋体" w:hAnsi="宋体" w:eastAsia="宋体" w:cs="宋体"/>
                <w:color w:val="000000"/>
                <w:kern w:val="0"/>
                <w:sz w:val="24"/>
                <w:szCs w:val="24"/>
              </w:rPr>
              <w:t>字头动车组列车、其他动车组列车一等以上座位等高消费及其他非生活和工作必需的消费行为。</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《国务院关于建立完善守信联合激励和失信联合惩戒制度加快推进社会诚信建设的指导意见》（国发〔</w:t>
            </w:r>
            <w:r>
              <w:rPr>
                <w:rFonts w:ascii="Tahoma" w:hAnsi="Tahoma" w:eastAsia="宋体" w:cs="Tahoma"/>
                <w:kern w:val="0"/>
                <w:sz w:val="24"/>
                <w:szCs w:val="24"/>
              </w:rPr>
              <w:t>2016</w:t>
            </w:r>
            <w:r>
              <w:rPr>
                <w:rFonts w:hint="eastAsia" w:ascii="Tahoma" w:hAnsi="Tahoma" w:eastAsia="宋体" w:cs="Tahoma"/>
                <w:kern w:val="0"/>
                <w:sz w:val="24"/>
                <w:szCs w:val="24"/>
              </w:rPr>
              <w:t>〕</w:t>
            </w:r>
            <w:r>
              <w:rPr>
                <w:rFonts w:ascii="Tahoma" w:hAnsi="Tahoma" w:eastAsia="宋体" w:cs="Tahoma"/>
                <w:kern w:val="0"/>
                <w:sz w:val="24"/>
                <w:szCs w:val="24"/>
              </w:rPr>
              <w:t>33</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（二）基本原则。</w:t>
            </w:r>
          </w:p>
          <w:p>
            <w:pPr>
              <w:widowControl/>
              <w:spacing w:line="240" w:lineRule="auto"/>
              <w:ind w:firstLine="600" w:firstLineChars="250"/>
              <w:jc w:val="left"/>
              <w:rPr>
                <w:rFonts w:ascii="Tahoma" w:hAnsi="Tahoma" w:eastAsia="宋体" w:cs="Tahoma"/>
                <w:kern w:val="0"/>
                <w:sz w:val="24"/>
                <w:szCs w:val="24"/>
              </w:rPr>
            </w:pPr>
            <w:r>
              <w:rPr>
                <w:rFonts w:ascii="Tahoma" w:hAnsi="Tahoma" w:eastAsia="宋体" w:cs="Tahoma"/>
                <w:kern w:val="0"/>
                <w:sz w:val="24"/>
                <w:szCs w:val="24"/>
              </w:rPr>
              <w:t>——</w:t>
            </w:r>
            <w:r>
              <w:rPr>
                <w:rFonts w:hint="eastAsia" w:ascii="Tahoma" w:hAnsi="Tahoma" w:eastAsia="宋体" w:cs="Tahoma"/>
                <w:kern w:val="0"/>
                <w:sz w:val="24"/>
                <w:szCs w:val="24"/>
              </w:rPr>
              <w:t>褒扬诚信，惩戒失信。充分运用信用激励和约束手段，加大对诚信主体激励和对严重失信主体惩戒力度，让守信者受益、失信者受限，形成褒扬诚信、惩戒失信的制度机制。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马尾区人民法院等有关单位</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三）对因未履行支付工资生效法律文书确定的义务被人民法院按照有关规定依法采取限制消费措施或依法纳入失信被执行人名单的，限制新建、扩建、高档装修房屋，购买非经营必需车辆等非生活和工作必需的消费行为。</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《中共中央办公厅</w:t>
            </w:r>
            <w:r>
              <w:rPr>
                <w:rFonts w:ascii="Tahoma" w:hAnsi="Tahoma" w:eastAsia="宋体" w:cs="Tahoma"/>
                <w:kern w:val="0"/>
                <w:sz w:val="24"/>
                <w:szCs w:val="24"/>
              </w:rPr>
              <w:t xml:space="preserve">  </w:t>
            </w:r>
            <w:r>
              <w:rPr>
                <w:rFonts w:hint="eastAsia" w:ascii="Tahoma" w:hAnsi="Tahoma" w:eastAsia="宋体" w:cs="Tahoma"/>
                <w:kern w:val="0"/>
                <w:sz w:val="24"/>
                <w:szCs w:val="24"/>
              </w:rPr>
              <w:t>国务院办公厅印发关于加快推进失信被执行人信用监督、警示和惩戒机制建设的意见》的通知（中办发〔</w:t>
            </w:r>
            <w:r>
              <w:rPr>
                <w:rFonts w:ascii="Tahoma" w:hAnsi="Tahoma" w:eastAsia="宋体" w:cs="Tahoma"/>
                <w:kern w:val="0"/>
                <w:sz w:val="24"/>
                <w:szCs w:val="24"/>
              </w:rPr>
              <w:t>2016</w:t>
            </w:r>
            <w:r>
              <w:rPr>
                <w:rFonts w:hint="eastAsia" w:ascii="Tahoma" w:hAnsi="Tahoma" w:eastAsia="宋体" w:cs="Tahoma"/>
                <w:kern w:val="0"/>
                <w:sz w:val="24"/>
                <w:szCs w:val="24"/>
              </w:rPr>
              <w:t>〕</w:t>
            </w:r>
            <w:r>
              <w:rPr>
                <w:rFonts w:ascii="Tahoma" w:hAnsi="Tahoma" w:eastAsia="宋体" w:cs="Tahoma"/>
                <w:kern w:val="0"/>
                <w:sz w:val="24"/>
                <w:szCs w:val="24"/>
              </w:rPr>
              <w:t>64</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二、加强联合惩戒</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（七）限制高消费及有关消费</w:t>
            </w:r>
          </w:p>
          <w:p>
            <w:pPr>
              <w:widowControl/>
              <w:spacing w:line="240" w:lineRule="auto"/>
              <w:ind w:firstLine="600" w:firstLineChars="250"/>
              <w:jc w:val="left"/>
              <w:rPr>
                <w:rFonts w:ascii="Tahoma" w:hAnsi="Tahoma" w:eastAsia="宋体" w:cs="Tahoma"/>
                <w:kern w:val="0"/>
                <w:sz w:val="24"/>
                <w:szCs w:val="24"/>
              </w:rPr>
            </w:pPr>
            <w:r>
              <w:rPr>
                <w:rFonts w:ascii="Tahoma" w:hAnsi="Tahoma" w:eastAsia="宋体" w:cs="Tahoma"/>
                <w:kern w:val="0"/>
                <w:sz w:val="24"/>
                <w:szCs w:val="24"/>
              </w:rPr>
              <w:t>6.</w:t>
            </w:r>
            <w:r>
              <w:rPr>
                <w:rFonts w:hint="eastAsia" w:ascii="Tahoma" w:hAnsi="Tahoma" w:eastAsia="宋体" w:cs="Tahoma"/>
                <w:kern w:val="0"/>
                <w:sz w:val="24"/>
                <w:szCs w:val="24"/>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《国务院关于建立完善守信联合激励和失信联合惩戒制度加快推进社会诚信建设的指导意见》（国发〔</w:t>
            </w:r>
            <w:r>
              <w:rPr>
                <w:rFonts w:ascii="Tahoma" w:hAnsi="Tahoma" w:eastAsia="宋体" w:cs="Tahoma"/>
                <w:kern w:val="0"/>
                <w:sz w:val="24"/>
                <w:szCs w:val="24"/>
              </w:rPr>
              <w:t>2016</w:t>
            </w:r>
            <w:r>
              <w:rPr>
                <w:rFonts w:hint="eastAsia" w:ascii="Tahoma" w:hAnsi="Tahoma" w:eastAsia="宋体" w:cs="Tahoma"/>
                <w:kern w:val="0"/>
                <w:sz w:val="24"/>
                <w:szCs w:val="24"/>
              </w:rPr>
              <w:t>〕</w:t>
            </w:r>
            <w:r>
              <w:rPr>
                <w:rFonts w:ascii="Tahoma" w:hAnsi="Tahoma" w:eastAsia="宋体" w:cs="Tahoma"/>
                <w:kern w:val="0"/>
                <w:sz w:val="24"/>
                <w:szCs w:val="24"/>
              </w:rPr>
              <w:t>33</w:t>
            </w:r>
            <w:r>
              <w:rPr>
                <w:rFonts w:hint="eastAsia" w:ascii="Tahoma" w:hAnsi="Tahoma" w:eastAsia="宋体" w:cs="Tahoma"/>
                <w:kern w:val="0"/>
                <w:sz w:val="24"/>
                <w:szCs w:val="24"/>
              </w:rPr>
              <w:t>号）</w:t>
            </w:r>
          </w:p>
          <w:p>
            <w:pPr>
              <w:widowControl/>
              <w:spacing w:line="240" w:lineRule="auto"/>
              <w:ind w:firstLine="600" w:firstLineChars="250"/>
              <w:jc w:val="left"/>
              <w:rPr>
                <w:rFonts w:ascii="Tahoma" w:hAnsi="Tahoma" w:eastAsia="宋体" w:cs="Tahoma"/>
                <w:kern w:val="0"/>
                <w:sz w:val="24"/>
                <w:szCs w:val="24"/>
              </w:rPr>
            </w:pPr>
            <w:r>
              <w:rPr>
                <w:rFonts w:hint="eastAsia" w:ascii="Tahoma" w:hAnsi="Tahoma" w:eastAsia="宋体" w:cs="Tahoma"/>
                <w:kern w:val="0"/>
                <w:sz w:val="24"/>
                <w:szCs w:val="24"/>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color w:val="000000"/>
                <w:kern w:val="0"/>
                <w:sz w:val="24"/>
                <w:szCs w:val="24"/>
              </w:rPr>
              <w:t>区</w:t>
            </w:r>
            <w:r>
              <w:rPr>
                <w:rFonts w:hint="eastAsia" w:ascii="Tahoma" w:hAnsi="Tahoma" w:eastAsia="宋体" w:cs="Tahoma"/>
                <w:color w:val="000000"/>
                <w:kern w:val="0"/>
                <w:sz w:val="24"/>
                <w:szCs w:val="24"/>
                <w:lang w:eastAsia="zh-CN"/>
              </w:rPr>
              <w:t>城乡建设</w:t>
            </w:r>
            <w:r>
              <w:rPr>
                <w:rFonts w:hint="eastAsia" w:ascii="Tahoma" w:hAnsi="Tahoma" w:eastAsia="宋体" w:cs="Tahoma"/>
                <w:color w:val="000000"/>
                <w:kern w:val="0"/>
                <w:sz w:val="24"/>
                <w:szCs w:val="24"/>
              </w:rPr>
              <w:t>局</w:t>
            </w:r>
            <w:r>
              <w:rPr>
                <w:rFonts w:hint="eastAsia" w:ascii="Tahoma" w:hAnsi="Tahoma" w:eastAsia="宋体" w:cs="Tahoma"/>
                <w:kern w:val="0"/>
                <w:sz w:val="24"/>
                <w:szCs w:val="24"/>
              </w:rPr>
              <w:t>等有关单位</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（十四）限制享受投资等领域优惠政策。</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区发改局等有关单位</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五）按程序及时撤销相关荣誉，取消惩戒对象参加评先评优资格，不得向惩戒对象授予“文明单位”、“道德模范”、“劳动模范”、“五一劳动奖章”、“三八红旗手（标兵）”、“三八红旗集体”、“青年五四奖章”等荣誉。</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《关于印发</w:t>
            </w:r>
            <w:r>
              <w:rPr>
                <w:rFonts w:ascii="Tahoma" w:hAnsi="Tahoma" w:eastAsia="宋体" w:cs="Tahoma"/>
                <w:kern w:val="0"/>
                <w:sz w:val="24"/>
                <w:szCs w:val="24"/>
              </w:rPr>
              <w:t>&lt;</w:t>
            </w:r>
            <w:r>
              <w:rPr>
                <w:rFonts w:hint="eastAsia" w:ascii="Tahoma" w:hAnsi="Tahoma" w:eastAsia="宋体" w:cs="Tahoma"/>
                <w:kern w:val="0"/>
                <w:sz w:val="24"/>
                <w:szCs w:val="24"/>
              </w:rPr>
              <w:t>全国道德模范荣誉称号管理暂行办法</w:t>
            </w:r>
            <w:r>
              <w:rPr>
                <w:rFonts w:ascii="Tahoma" w:hAnsi="Tahoma" w:eastAsia="宋体" w:cs="Tahoma"/>
                <w:kern w:val="0"/>
                <w:sz w:val="24"/>
                <w:szCs w:val="24"/>
              </w:rPr>
              <w:t>&gt;</w:t>
            </w:r>
            <w:r>
              <w:rPr>
                <w:rFonts w:hint="eastAsia" w:ascii="Tahoma" w:hAnsi="Tahoma" w:eastAsia="宋体" w:cs="Tahoma"/>
                <w:kern w:val="0"/>
                <w:sz w:val="24"/>
                <w:szCs w:val="24"/>
              </w:rPr>
              <w:t>的通知》（文明委〔</w:t>
            </w:r>
            <w:r>
              <w:rPr>
                <w:rFonts w:ascii="Tahoma" w:hAnsi="Tahoma" w:eastAsia="宋体" w:cs="Tahoma"/>
                <w:kern w:val="0"/>
                <w:sz w:val="24"/>
                <w:szCs w:val="24"/>
              </w:rPr>
              <w:t>2015</w:t>
            </w:r>
            <w:r>
              <w:rPr>
                <w:rFonts w:hint="eastAsia" w:ascii="Tahoma" w:hAnsi="Tahoma" w:eastAsia="宋体" w:cs="Tahoma"/>
                <w:kern w:val="0"/>
                <w:sz w:val="24"/>
                <w:szCs w:val="24"/>
              </w:rPr>
              <w:t>〕</w:t>
            </w:r>
            <w:r>
              <w:rPr>
                <w:rFonts w:ascii="Tahoma" w:hAnsi="Tahoma" w:eastAsia="宋体" w:cs="Tahoma"/>
                <w:kern w:val="0"/>
                <w:sz w:val="24"/>
                <w:szCs w:val="24"/>
              </w:rPr>
              <w:t>6</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第七条全国道德模范及提名奖获得者产生道德滑坡，有下列情形之一的，所在属地管理责任部门向中央文明办提交调查报告，经中央文明办批准后撤销荣誉称号，收回奖章和证书。</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（三）生产经营活动严重失信的；</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（四）违反环境保护、计划生育、民族团结和税务、工商、安全生产政策法规的；</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《全国五一劳动奖状全国五一劳动奖章全国工人先锋号评选管理工作暂行办法》（总工发〔</w:t>
            </w:r>
            <w:r>
              <w:rPr>
                <w:rFonts w:ascii="Tahoma" w:hAnsi="Tahoma" w:eastAsia="宋体" w:cs="Tahoma"/>
                <w:kern w:val="0"/>
                <w:sz w:val="24"/>
                <w:szCs w:val="24"/>
              </w:rPr>
              <w:t>2011</w:t>
            </w:r>
            <w:r>
              <w:rPr>
                <w:rFonts w:hint="eastAsia" w:ascii="Tahoma" w:hAnsi="Tahoma" w:eastAsia="宋体" w:cs="Tahoma"/>
                <w:kern w:val="0"/>
                <w:sz w:val="24"/>
                <w:szCs w:val="24"/>
              </w:rPr>
              <w:t>〕</w:t>
            </w:r>
            <w:r>
              <w:rPr>
                <w:rFonts w:ascii="Tahoma" w:hAnsi="Tahoma" w:eastAsia="宋体" w:cs="Tahoma"/>
                <w:kern w:val="0"/>
                <w:sz w:val="24"/>
                <w:szCs w:val="24"/>
              </w:rPr>
              <w:t>77</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第七条评选全国五一劳动奖状、全国五一劳动奖章、全国工人先锋号要面向基层、面向一线职工，坚持公开、公平、公正的原则，严格推荐评选审批程序，接受群众监督。</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《国务院关于促进市场公平竞争维护市场正常秩序的若干意见》（国发〔</w:t>
            </w:r>
            <w:r>
              <w:rPr>
                <w:rFonts w:ascii="Tahoma" w:hAnsi="Tahoma" w:eastAsia="宋体" w:cs="Tahoma"/>
                <w:kern w:val="0"/>
                <w:sz w:val="24"/>
                <w:szCs w:val="24"/>
              </w:rPr>
              <w:t>2014</w:t>
            </w:r>
            <w:r>
              <w:rPr>
                <w:rFonts w:hint="eastAsia" w:ascii="Tahoma" w:hAnsi="Tahoma" w:eastAsia="宋体" w:cs="Tahoma"/>
                <w:kern w:val="0"/>
                <w:sz w:val="24"/>
                <w:szCs w:val="24"/>
              </w:rPr>
              <w:t>〕</w:t>
            </w:r>
            <w:r>
              <w:rPr>
                <w:rFonts w:ascii="Tahoma" w:hAnsi="Tahoma" w:eastAsia="宋体" w:cs="Tahoma"/>
                <w:kern w:val="0"/>
                <w:sz w:val="24"/>
                <w:szCs w:val="24"/>
              </w:rPr>
              <w:t>20</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ahoma" w:hAnsi="Tahoma" w:eastAsia="宋体" w:cs="Tahoma"/>
                <w:kern w:val="0"/>
                <w:sz w:val="24"/>
                <w:szCs w:val="24"/>
              </w:rPr>
              <w:t>“</w:t>
            </w:r>
            <w:r>
              <w:rPr>
                <w:rFonts w:hint="eastAsia" w:ascii="Tahoma" w:hAnsi="Tahoma" w:eastAsia="宋体" w:cs="Tahoma"/>
                <w:kern w:val="0"/>
                <w:sz w:val="24"/>
                <w:szCs w:val="24"/>
              </w:rPr>
              <w:t>黑名单</w:t>
            </w:r>
            <w:r>
              <w:rPr>
                <w:rFonts w:ascii="Tahoma" w:hAnsi="Tahoma" w:eastAsia="宋体" w:cs="Tahoma"/>
                <w:kern w:val="0"/>
                <w:sz w:val="24"/>
                <w:szCs w:val="24"/>
              </w:rPr>
              <w:t>”</w:t>
            </w:r>
            <w:r>
              <w:rPr>
                <w:rFonts w:hint="eastAsia" w:ascii="Tahoma" w:hAnsi="Tahoma" w:eastAsia="宋体" w:cs="Tahoma"/>
                <w:kern w:val="0"/>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区文明办、总工会、团区委、妇联等有关单位</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（十六）按规定限制招录（聘）为公务员或事业单位工作人员。</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《中华人民共和国公务员法》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第十一条公务员应当具备下列条件：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（一）具有中华人民共和国国籍；</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（二）年满十八周岁；</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（三）拥护中华人民共和国宪法；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（四）具有良好的品行；</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（五）具有正常履行职责的身体条件；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（六）具有符合职位要求的文化程度和工作能力；</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（七）法律规定的其他条件。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第二十一条录用担任主任科员以下及其他相当职务层次的非领导职务公务员，采取公开考试、严格考察、平等竞争、择优录取的办法。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民族自治地方依照前款规定录用公务员时，依照法律和有关规定对少数民族报考者予以适当照顾。</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《事业单位公开招聘人员暂行规定》</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第九条应聘人员必须具备下列条件：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（一）具有中华人民共和国国籍；</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（二）遵守宪法和法律；</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（三）具有良好的品行；</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（四）岗位所需的专业或技能条件；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（五）适应岗位要求的身体条件；</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（六）岗位所需要的其他条件。</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区委组织部、</w:t>
            </w:r>
          </w:p>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人社局等有关单位</w:t>
            </w:r>
          </w:p>
        </w:tc>
      </w:tr>
      <w:tr>
        <w:tblPrEx>
          <w:tblLayout w:type="fixed"/>
          <w:tblCellMar>
            <w:top w:w="30" w:type="dxa"/>
            <w:left w:w="30" w:type="dxa"/>
            <w:bottom w:w="30" w:type="dxa"/>
            <w:right w:w="30" w:type="dxa"/>
          </w:tblCellMar>
        </w:tblPrEx>
        <w:trPr>
          <w:gridBefore w:val="1"/>
          <w:wBefore w:w="6" w:type="dxa"/>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（十七）相关监管部门加强日常监督管理，提高检查频次。</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《国务院办公厅关于推广随机抽查规范事中事后监管的通知》（国办发〔</w:t>
            </w:r>
            <w:r>
              <w:rPr>
                <w:rFonts w:ascii="Tahoma" w:hAnsi="Tahoma" w:eastAsia="宋体" w:cs="Tahoma"/>
                <w:kern w:val="0"/>
                <w:sz w:val="24"/>
                <w:szCs w:val="24"/>
              </w:rPr>
              <w:t>2015</w:t>
            </w:r>
            <w:r>
              <w:rPr>
                <w:rFonts w:hint="eastAsia" w:ascii="Tahoma" w:hAnsi="Tahoma" w:eastAsia="宋体" w:cs="Tahoma"/>
                <w:kern w:val="0"/>
                <w:sz w:val="24"/>
                <w:szCs w:val="24"/>
              </w:rPr>
              <w:t>〕</w:t>
            </w:r>
            <w:r>
              <w:rPr>
                <w:rFonts w:ascii="Tahoma" w:hAnsi="Tahoma" w:eastAsia="宋体" w:cs="Tahoma"/>
                <w:kern w:val="0"/>
                <w:sz w:val="24"/>
                <w:szCs w:val="24"/>
              </w:rPr>
              <w:t>58</w:t>
            </w:r>
            <w:r>
              <w:rPr>
                <w:rFonts w:hint="eastAsia" w:ascii="Tahoma" w:hAnsi="Tahoma" w:eastAsia="宋体" w:cs="Tahoma"/>
                <w:kern w:val="0"/>
                <w:sz w:val="24"/>
                <w:szCs w:val="24"/>
              </w:rPr>
              <w:t>号）</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区市场监管局</w:t>
            </w:r>
          </w:p>
        </w:tc>
      </w:tr>
      <w:tr>
        <w:tblPrEx>
          <w:tblLayout w:type="fixed"/>
          <w:tblCellMar>
            <w:top w:w="30" w:type="dxa"/>
            <w:left w:w="30" w:type="dxa"/>
            <w:bottom w:w="30" w:type="dxa"/>
            <w:right w:w="30" w:type="dxa"/>
          </w:tblCellMar>
        </w:tblPrEx>
        <w:trPr>
          <w:gridBefore w:val="1"/>
          <w:wBefore w:w="6" w:type="dxa"/>
          <w:trHeight w:val="2283" w:hRule="atLeast"/>
          <w:tblCellSpacing w:w="0" w:type="dxa"/>
          <w:jc w:val="center"/>
        </w:trPr>
        <w:tc>
          <w:tcPr>
            <w:tcW w:w="18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300" w:after="300"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（十八）对广播电台、电视台、报刊音像出版单位等媒体发布违法失信用人单位广告依法加强管理。</w:t>
            </w:r>
          </w:p>
        </w:tc>
        <w:tc>
          <w:tcPr>
            <w:tcW w:w="1048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《中华人民共和国广告法》</w:t>
            </w:r>
          </w:p>
          <w:p>
            <w:pPr>
              <w:widowControl/>
              <w:spacing w:line="240" w:lineRule="auto"/>
              <w:ind w:firstLine="480"/>
              <w:jc w:val="left"/>
              <w:rPr>
                <w:rFonts w:ascii="Tahoma" w:hAnsi="Tahoma" w:eastAsia="宋体" w:cs="Tahoma"/>
                <w:kern w:val="0"/>
                <w:sz w:val="24"/>
                <w:szCs w:val="24"/>
              </w:rPr>
            </w:pPr>
            <w:r>
              <w:rPr>
                <w:rFonts w:hint="eastAsia" w:ascii="Tahoma" w:hAnsi="Tahoma" w:eastAsia="宋体" w:cs="Tahoma"/>
                <w:kern w:val="0"/>
                <w:sz w:val="24"/>
                <w:szCs w:val="24"/>
              </w:rPr>
              <w:t>第五条　广告主、广告经营者、广告发布者从事广告活动，应当遵守法律、法规，诚实信用，公平竞争。</w:t>
            </w:r>
          </w:p>
        </w:tc>
        <w:tc>
          <w:tcPr>
            <w:tcW w:w="16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240" w:lineRule="auto"/>
              <w:ind w:firstLine="0" w:firstLineChars="0"/>
              <w:jc w:val="left"/>
              <w:rPr>
                <w:rFonts w:ascii="Tahoma" w:hAnsi="Tahoma" w:eastAsia="宋体" w:cs="Tahoma"/>
                <w:kern w:val="0"/>
                <w:sz w:val="24"/>
                <w:szCs w:val="24"/>
              </w:rPr>
            </w:pPr>
            <w:r>
              <w:rPr>
                <w:rFonts w:hint="eastAsia" w:ascii="Tahoma" w:hAnsi="Tahoma" w:eastAsia="宋体" w:cs="Tahoma"/>
                <w:kern w:val="0"/>
                <w:sz w:val="24"/>
                <w:szCs w:val="24"/>
              </w:rPr>
              <w:t>区文体局、市场监管局按职责分工负责</w:t>
            </w:r>
          </w:p>
        </w:tc>
      </w:tr>
    </w:tbl>
    <w:p>
      <w:pPr>
        <w:widowControl/>
        <w:spacing w:line="480" w:lineRule="atLeast"/>
        <w:ind w:firstLine="0" w:firstLineChars="0"/>
        <w:jc w:val="left"/>
        <w:rPr>
          <w:rFonts w:ascii="Tahoma" w:hAnsi="Tahoma" w:eastAsia="宋体" w:cs="Tahoma"/>
          <w:kern w:val="0"/>
          <w:sz w:val="24"/>
          <w:szCs w:val="24"/>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fmt="numberInDash" w:start="6"/>
          <w:cols w:space="425" w:num="1"/>
          <w:docGrid w:type="lines" w:linePitch="312" w:charSpace="0"/>
        </w:sectPr>
      </w:pPr>
    </w:p>
    <w:p>
      <w:pPr>
        <w:widowControl/>
        <w:spacing w:line="480" w:lineRule="atLeast"/>
        <w:ind w:firstLine="0" w:firstLineChars="0"/>
        <w:jc w:val="left"/>
        <w:rPr>
          <w:rFonts w:ascii="Tahoma" w:hAnsi="Tahoma" w:eastAsia="宋体" w:cs="Tahoma"/>
          <w:kern w:val="0"/>
          <w:sz w:val="24"/>
          <w:szCs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21"/>
    <w:rsid w:val="00015AF5"/>
    <w:rsid w:val="000D4EDA"/>
    <w:rsid w:val="000D7813"/>
    <w:rsid w:val="00130D86"/>
    <w:rsid w:val="00133AE3"/>
    <w:rsid w:val="00137678"/>
    <w:rsid w:val="001810D6"/>
    <w:rsid w:val="00191558"/>
    <w:rsid w:val="001A69FD"/>
    <w:rsid w:val="001D61FF"/>
    <w:rsid w:val="001E4AE1"/>
    <w:rsid w:val="001F3890"/>
    <w:rsid w:val="00211626"/>
    <w:rsid w:val="00222BAD"/>
    <w:rsid w:val="0023351D"/>
    <w:rsid w:val="00257BEA"/>
    <w:rsid w:val="00262B50"/>
    <w:rsid w:val="00272439"/>
    <w:rsid w:val="002D102C"/>
    <w:rsid w:val="002F1A10"/>
    <w:rsid w:val="003832A1"/>
    <w:rsid w:val="003B1CAE"/>
    <w:rsid w:val="003D55FA"/>
    <w:rsid w:val="004E05E1"/>
    <w:rsid w:val="004F1C81"/>
    <w:rsid w:val="004F34F2"/>
    <w:rsid w:val="004F6E8C"/>
    <w:rsid w:val="00535476"/>
    <w:rsid w:val="00560801"/>
    <w:rsid w:val="0057579D"/>
    <w:rsid w:val="00575D09"/>
    <w:rsid w:val="00585593"/>
    <w:rsid w:val="005A3AB4"/>
    <w:rsid w:val="00621EFE"/>
    <w:rsid w:val="00675F65"/>
    <w:rsid w:val="006B0485"/>
    <w:rsid w:val="006F6E82"/>
    <w:rsid w:val="007863DC"/>
    <w:rsid w:val="007876CF"/>
    <w:rsid w:val="00802607"/>
    <w:rsid w:val="0082127F"/>
    <w:rsid w:val="00827545"/>
    <w:rsid w:val="008838F6"/>
    <w:rsid w:val="00922E82"/>
    <w:rsid w:val="00935BEF"/>
    <w:rsid w:val="00956221"/>
    <w:rsid w:val="009B761C"/>
    <w:rsid w:val="009E7748"/>
    <w:rsid w:val="00AA7600"/>
    <w:rsid w:val="00AE4382"/>
    <w:rsid w:val="00B237B1"/>
    <w:rsid w:val="00B66564"/>
    <w:rsid w:val="00BC5860"/>
    <w:rsid w:val="00C07854"/>
    <w:rsid w:val="00C23D54"/>
    <w:rsid w:val="00C3548C"/>
    <w:rsid w:val="00CA6801"/>
    <w:rsid w:val="00D054FE"/>
    <w:rsid w:val="00D64845"/>
    <w:rsid w:val="00D67738"/>
    <w:rsid w:val="00DA5E23"/>
    <w:rsid w:val="00DB46B8"/>
    <w:rsid w:val="00DE6891"/>
    <w:rsid w:val="00E33E05"/>
    <w:rsid w:val="00E3764D"/>
    <w:rsid w:val="00E42564"/>
    <w:rsid w:val="00EA0EF5"/>
    <w:rsid w:val="00EB7FA3"/>
    <w:rsid w:val="00F3067B"/>
    <w:rsid w:val="00F5717D"/>
    <w:rsid w:val="00F9148C"/>
    <w:rsid w:val="00FA0CEA"/>
    <w:rsid w:val="00FC76F2"/>
    <w:rsid w:val="0B2B75C1"/>
    <w:rsid w:val="12215D6D"/>
    <w:rsid w:val="44285D56"/>
    <w:rsid w:val="547B287E"/>
    <w:rsid w:val="5F615B03"/>
    <w:rsid w:val="642732F4"/>
    <w:rsid w:val="6A8F26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Calibri" w:hAnsi="Calibri" w:eastAsia="仿宋_GB2312" w:cs="Times New Roman"/>
      <w:kern w:val="2"/>
      <w:sz w:val="32"/>
      <w:szCs w:val="21"/>
      <w:lang w:val="en-US" w:eastAsia="zh-CN" w:bidi="ar-SA"/>
    </w:rPr>
  </w:style>
  <w:style w:type="paragraph" w:styleId="2">
    <w:name w:val="heading 1"/>
    <w:basedOn w:val="1"/>
    <w:next w:val="1"/>
    <w:link w:val="11"/>
    <w:qFormat/>
    <w:uiPriority w:val="99"/>
    <w:pPr>
      <w:keepNext/>
      <w:keepLines/>
      <w:ind w:firstLine="0" w:firstLineChars="0"/>
      <w:jc w:val="center"/>
      <w:outlineLvl w:val="0"/>
    </w:pPr>
    <w:rPr>
      <w:rFonts w:eastAsia="方正小标宋简体"/>
      <w:bCs/>
      <w:kern w:val="44"/>
      <w:sz w:val="44"/>
      <w:szCs w:val="44"/>
    </w:rPr>
  </w:style>
  <w:style w:type="paragraph" w:styleId="3">
    <w:name w:val="heading 2"/>
    <w:basedOn w:val="1"/>
    <w:next w:val="1"/>
    <w:link w:val="12"/>
    <w:qFormat/>
    <w:uiPriority w:val="99"/>
    <w:pPr>
      <w:keepNext/>
      <w:keepLines/>
      <w:outlineLvl w:val="1"/>
    </w:pPr>
    <w:rPr>
      <w:rFonts w:ascii="Cambria" w:hAnsi="Cambria" w:eastAsia="黑体"/>
      <w:bCs/>
      <w:szCs w:val="32"/>
    </w:rPr>
  </w:style>
  <w:style w:type="paragraph" w:styleId="4">
    <w:name w:val="heading 3"/>
    <w:basedOn w:val="1"/>
    <w:next w:val="1"/>
    <w:link w:val="13"/>
    <w:qFormat/>
    <w:uiPriority w:val="99"/>
    <w:pPr>
      <w:keepNext/>
      <w:keepLines/>
      <w:outlineLvl w:val="2"/>
    </w:pPr>
    <w:rPr>
      <w:rFonts w:eastAsia="楷体"/>
      <w:bCs/>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4"/>
    <w:semiHidden/>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Strong"/>
    <w:basedOn w:val="9"/>
    <w:qFormat/>
    <w:uiPriority w:val="99"/>
    <w:rPr>
      <w:rFonts w:cs="Times New Roman"/>
      <w:b/>
      <w:bCs/>
    </w:rPr>
  </w:style>
  <w:style w:type="character" w:customStyle="1" w:styleId="11">
    <w:name w:val="标题 1 Char"/>
    <w:basedOn w:val="9"/>
    <w:link w:val="2"/>
    <w:qFormat/>
    <w:locked/>
    <w:uiPriority w:val="99"/>
    <w:rPr>
      <w:rFonts w:eastAsia="方正小标宋简体" w:cs="Times New Roman"/>
      <w:bCs/>
      <w:kern w:val="44"/>
      <w:sz w:val="44"/>
      <w:szCs w:val="44"/>
    </w:rPr>
  </w:style>
  <w:style w:type="character" w:customStyle="1" w:styleId="12">
    <w:name w:val="标题 2 Char"/>
    <w:basedOn w:val="9"/>
    <w:link w:val="3"/>
    <w:semiHidden/>
    <w:qFormat/>
    <w:locked/>
    <w:uiPriority w:val="99"/>
    <w:rPr>
      <w:rFonts w:ascii="Cambria" w:hAnsi="Cambria" w:eastAsia="黑体" w:cs="Times New Roman"/>
      <w:bCs/>
      <w:sz w:val="32"/>
      <w:szCs w:val="32"/>
    </w:rPr>
  </w:style>
  <w:style w:type="character" w:customStyle="1" w:styleId="13">
    <w:name w:val="标题 3 Char"/>
    <w:basedOn w:val="9"/>
    <w:link w:val="4"/>
    <w:semiHidden/>
    <w:qFormat/>
    <w:locked/>
    <w:uiPriority w:val="99"/>
    <w:rPr>
      <w:rFonts w:eastAsia="楷体" w:cs="Times New Roman"/>
      <w:bCs/>
      <w:sz w:val="32"/>
      <w:szCs w:val="32"/>
    </w:rPr>
  </w:style>
  <w:style w:type="character" w:customStyle="1" w:styleId="14">
    <w:name w:val="页脚 Char"/>
    <w:basedOn w:val="9"/>
    <w:link w:val="5"/>
    <w:semiHidden/>
    <w:qFormat/>
    <w:locked/>
    <w:uiPriority w:val="99"/>
    <w:rPr>
      <w:rFonts w:eastAsia="仿宋_GB2312" w:cs="Times New Roman"/>
      <w:sz w:val="18"/>
      <w:szCs w:val="18"/>
    </w:rPr>
  </w:style>
  <w:style w:type="character" w:customStyle="1" w:styleId="15">
    <w:name w:val="页眉 Char"/>
    <w:basedOn w:val="9"/>
    <w:link w:val="6"/>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1565</Words>
  <Characters>8921</Characters>
  <Lines>74</Lines>
  <Paragraphs>20</Paragraphs>
  <TotalTime>92</TotalTime>
  <ScaleCrop>false</ScaleCrop>
  <LinksUpToDate>false</LinksUpToDate>
  <CharactersWithSpaces>10466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2018-09-10T07:42:00Z</dcterms:created>
  <dc:creator>李龙</dc:creator>
  <cp:lastModifiedBy>Administrator</cp:lastModifiedBy>
  <cp:lastPrinted>2019-09-03T00:57:43Z</cp:lastPrinted>
  <dcterms:modified xsi:type="dcterms:W3CDTF">2019-09-03T02:41:01Z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