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44"/>
          <w:szCs w:val="44"/>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简体" w:eastAsia="方正小标宋简体" w:hAnsi="Times New Roman" w:cs="Times New Roman"/>
          <w:kern w:val="0"/>
          <w:sz w:val="44"/>
          <w:szCs w:val="44"/>
        </w:rPr>
        <w:t>国家市场监督管理总局令</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仿宋_GB2312" w:eastAsia="仿宋_GB2312" w:hAnsi="Times New Roman" w:cs="Times New Roman"/>
          <w:kern w:val="0"/>
          <w:sz w:val="32"/>
          <w:szCs w:val="32"/>
        </w:rPr>
        <w:t>第</w:t>
      </w:r>
      <w:r w:rsidRPr="005C2972">
        <w:rPr>
          <w:rFonts w:ascii="Times New Roman" w:eastAsia="宋体" w:hAnsi="Times New Roman" w:cs="Times New Roman"/>
          <w:kern w:val="0"/>
          <w:sz w:val="32"/>
          <w:szCs w:val="32"/>
        </w:rPr>
        <w:t>47</w:t>
      </w:r>
      <w:r w:rsidRPr="005C2972">
        <w:rPr>
          <w:rFonts w:ascii="仿宋_GB2312" w:eastAsia="仿宋_GB2312" w:hAnsi="Times New Roman" w:cs="Times New Roman"/>
          <w:kern w:val="0"/>
          <w:sz w:val="32"/>
          <w:szCs w:val="32"/>
        </w:rPr>
        <w:t>号</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44"/>
          <w:szCs w:val="44"/>
        </w:rPr>
        <w:t> </w:t>
      </w:r>
    </w:p>
    <w:p w:rsidR="005C2972" w:rsidRPr="005C2972" w:rsidRDefault="005C2972" w:rsidP="005C2972">
      <w:pPr>
        <w:widowControl/>
        <w:spacing w:line="560" w:lineRule="atLeast"/>
        <w:ind w:firstLine="640"/>
        <w:jc w:val="left"/>
        <w:rPr>
          <w:rFonts w:ascii="Calibri" w:eastAsia="宋体" w:hAnsi="Calibri" w:cs="Calibri"/>
          <w:kern w:val="0"/>
          <w:szCs w:val="21"/>
        </w:rPr>
      </w:pPr>
      <w:r w:rsidRPr="005C2972">
        <w:rPr>
          <w:rFonts w:ascii="仿宋_GB2312" w:eastAsia="仿宋_GB2312" w:hAnsi="Times New Roman" w:cs="Times New Roman"/>
          <w:kern w:val="0"/>
          <w:sz w:val="32"/>
          <w:szCs w:val="32"/>
        </w:rPr>
        <w:t>《医疗器械注册与备案管理办法》已经</w:t>
      </w:r>
      <w:r w:rsidRPr="005C2972">
        <w:rPr>
          <w:rFonts w:ascii="Times New Roman" w:eastAsia="宋体" w:hAnsi="Times New Roman" w:cs="Times New Roman"/>
          <w:kern w:val="0"/>
          <w:sz w:val="32"/>
          <w:szCs w:val="32"/>
        </w:rPr>
        <w:t>2021</w:t>
      </w:r>
      <w:r w:rsidRPr="005C2972">
        <w:rPr>
          <w:rFonts w:ascii="仿宋_GB2312" w:eastAsia="仿宋_GB2312" w:hAnsi="Times New Roman" w:cs="Times New Roman"/>
          <w:kern w:val="0"/>
          <w:sz w:val="32"/>
          <w:szCs w:val="32"/>
        </w:rPr>
        <w:t>年</w:t>
      </w:r>
      <w:r w:rsidRPr="005C2972">
        <w:rPr>
          <w:rFonts w:ascii="Times New Roman" w:eastAsia="宋体" w:hAnsi="Times New Roman" w:cs="Times New Roman"/>
          <w:kern w:val="0"/>
          <w:sz w:val="32"/>
          <w:szCs w:val="32"/>
        </w:rPr>
        <w:t>7</w:t>
      </w:r>
      <w:r w:rsidRPr="005C2972">
        <w:rPr>
          <w:rFonts w:ascii="仿宋_GB2312" w:eastAsia="仿宋_GB2312" w:hAnsi="Times New Roman" w:cs="Times New Roman"/>
          <w:kern w:val="0"/>
          <w:sz w:val="32"/>
          <w:szCs w:val="32"/>
        </w:rPr>
        <w:t>月</w:t>
      </w:r>
      <w:r w:rsidRPr="005C2972">
        <w:rPr>
          <w:rFonts w:ascii="Times New Roman" w:eastAsia="宋体" w:hAnsi="Times New Roman" w:cs="Times New Roman"/>
          <w:kern w:val="0"/>
          <w:sz w:val="32"/>
          <w:szCs w:val="32"/>
        </w:rPr>
        <w:t>22</w:t>
      </w:r>
      <w:r w:rsidRPr="005C2972">
        <w:rPr>
          <w:rFonts w:ascii="仿宋_GB2312" w:eastAsia="仿宋_GB2312" w:hAnsi="Times New Roman" w:cs="Times New Roman"/>
          <w:kern w:val="0"/>
          <w:sz w:val="32"/>
          <w:szCs w:val="32"/>
        </w:rPr>
        <w:t>日市场监管总局第</w:t>
      </w:r>
      <w:r w:rsidRPr="005C2972">
        <w:rPr>
          <w:rFonts w:ascii="Times New Roman" w:eastAsia="宋体" w:hAnsi="Times New Roman" w:cs="Times New Roman"/>
          <w:kern w:val="0"/>
          <w:sz w:val="32"/>
          <w:szCs w:val="32"/>
        </w:rPr>
        <w:t>11</w:t>
      </w:r>
      <w:r w:rsidRPr="005C2972">
        <w:rPr>
          <w:rFonts w:ascii="仿宋_GB2312" w:eastAsia="仿宋_GB2312" w:hAnsi="Times New Roman" w:cs="Times New Roman"/>
          <w:kern w:val="0"/>
          <w:sz w:val="32"/>
          <w:szCs w:val="32"/>
        </w:rPr>
        <w:t>次局务会议通过，现予公布，自</w:t>
      </w:r>
      <w:r w:rsidRPr="005C2972">
        <w:rPr>
          <w:rFonts w:ascii="Times New Roman" w:eastAsia="宋体" w:hAnsi="Times New Roman" w:cs="Times New Roman"/>
          <w:kern w:val="0"/>
          <w:sz w:val="32"/>
          <w:szCs w:val="32"/>
        </w:rPr>
        <w:t>2021</w:t>
      </w:r>
      <w:r w:rsidRPr="005C2972">
        <w:rPr>
          <w:rFonts w:ascii="仿宋_GB2312" w:eastAsia="仿宋_GB2312" w:hAnsi="Times New Roman" w:cs="Times New Roman"/>
          <w:kern w:val="0"/>
          <w:sz w:val="32"/>
          <w:szCs w:val="32"/>
        </w:rPr>
        <w:t>年</w:t>
      </w:r>
      <w:r w:rsidRPr="005C2972">
        <w:rPr>
          <w:rFonts w:ascii="Times New Roman" w:eastAsia="宋体" w:hAnsi="Times New Roman" w:cs="Times New Roman"/>
          <w:kern w:val="0"/>
          <w:sz w:val="32"/>
          <w:szCs w:val="32"/>
        </w:rPr>
        <w:t>10</w:t>
      </w:r>
      <w:r w:rsidRPr="005C2972">
        <w:rPr>
          <w:rFonts w:ascii="仿宋_GB2312" w:eastAsia="仿宋_GB2312" w:hAnsi="Times New Roman" w:cs="Times New Roman"/>
          <w:kern w:val="0"/>
          <w:sz w:val="32"/>
          <w:szCs w:val="32"/>
        </w:rPr>
        <w:t>月</w:t>
      </w:r>
      <w:r w:rsidRPr="005C2972">
        <w:rPr>
          <w:rFonts w:ascii="Times New Roman" w:eastAsia="宋体" w:hAnsi="Times New Roman" w:cs="Times New Roman"/>
          <w:kern w:val="0"/>
          <w:sz w:val="32"/>
          <w:szCs w:val="32"/>
        </w:rPr>
        <w:t>1</w:t>
      </w:r>
      <w:r w:rsidRPr="005C2972">
        <w:rPr>
          <w:rFonts w:ascii="仿宋_GB2312" w:eastAsia="仿宋_GB2312" w:hAnsi="Times New Roman" w:cs="Times New Roman"/>
          <w:kern w:val="0"/>
          <w:sz w:val="32"/>
          <w:szCs w:val="32"/>
        </w:rPr>
        <w:t>日起施行。</w:t>
      </w:r>
    </w:p>
    <w:p w:rsidR="005C2972" w:rsidRPr="005C2972" w:rsidRDefault="005C2972" w:rsidP="005C2972">
      <w:pPr>
        <w:widowControl/>
        <w:spacing w:line="560" w:lineRule="atLeast"/>
        <w:jc w:val="left"/>
        <w:rPr>
          <w:rFonts w:ascii="Calibri" w:eastAsia="宋体" w:hAnsi="Calibri" w:cs="Calibri"/>
          <w:kern w:val="0"/>
          <w:szCs w:val="21"/>
        </w:rPr>
      </w:pPr>
      <w:r w:rsidRPr="005C2972">
        <w:rPr>
          <w:rFonts w:ascii="Calibri" w:eastAsia="宋体" w:hAnsi="Calibri" w:cs="Calibri"/>
          <w:kern w:val="0"/>
          <w:szCs w:val="21"/>
        </w:rPr>
        <w:t> </w:t>
      </w:r>
    </w:p>
    <w:p w:rsidR="005C2972" w:rsidRPr="005C2972" w:rsidRDefault="005C2972" w:rsidP="005C2972">
      <w:pPr>
        <w:widowControl/>
        <w:spacing w:line="560" w:lineRule="atLeast"/>
        <w:jc w:val="left"/>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rPr>
          <w:rFonts w:ascii="Calibri" w:eastAsia="宋体" w:hAnsi="Calibri" w:cs="Calibri"/>
          <w:kern w:val="0"/>
          <w:szCs w:val="21"/>
        </w:rPr>
      </w:pP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局长</w:t>
      </w:r>
      <w:r w:rsidRPr="005C2972">
        <w:rPr>
          <w:rFonts w:ascii="Times New Roman" w:eastAsia="宋体" w:hAnsi="Times New Roman" w:cs="Times New Roman"/>
          <w:kern w:val="0"/>
          <w:sz w:val="32"/>
          <w:szCs w:val="32"/>
        </w:rPr>
        <w:t xml:space="preserve"> </w:t>
      </w:r>
      <w:r w:rsidRPr="005C2972">
        <w:rPr>
          <w:rFonts w:ascii="仿宋_GB2312" w:eastAsia="仿宋_GB2312" w:hAnsi="Calibri" w:cs="Calibri" w:hint="eastAsia"/>
          <w:kern w:val="0"/>
          <w:sz w:val="32"/>
          <w:szCs w:val="32"/>
        </w:rPr>
        <w:t>张工</w:t>
      </w:r>
    </w:p>
    <w:p w:rsidR="005C2972" w:rsidRPr="005C2972" w:rsidRDefault="005C2972" w:rsidP="005C2972">
      <w:pPr>
        <w:widowControl/>
        <w:spacing w:line="560" w:lineRule="atLeast"/>
        <w:rPr>
          <w:rFonts w:ascii="Calibri" w:eastAsia="宋体" w:hAnsi="Calibri" w:cs="Calibri"/>
          <w:kern w:val="0"/>
          <w:szCs w:val="21"/>
        </w:rPr>
      </w:pPr>
      <w:r w:rsidRPr="005C2972">
        <w:rPr>
          <w:rFonts w:ascii="Times New Roman" w:eastAsia="宋体" w:hAnsi="Times New Roman" w:cs="Times New Roman"/>
          <w:kern w:val="0"/>
          <w:sz w:val="32"/>
          <w:szCs w:val="32"/>
        </w:rPr>
        <w:t>                                                                                                  2021</w:t>
      </w:r>
      <w:r w:rsidRPr="005C2972">
        <w:rPr>
          <w:rFonts w:ascii="仿宋_GB2312" w:eastAsia="仿宋_GB2312" w:hAnsi="Times New Roman" w:cs="Times New Roman"/>
          <w:kern w:val="0"/>
          <w:sz w:val="32"/>
          <w:szCs w:val="32"/>
        </w:rPr>
        <w:t>年</w:t>
      </w:r>
      <w:r w:rsidRPr="005C2972">
        <w:rPr>
          <w:rFonts w:ascii="Times New Roman" w:eastAsia="宋体" w:hAnsi="Times New Roman" w:cs="Times New Roman"/>
          <w:kern w:val="0"/>
          <w:sz w:val="32"/>
          <w:szCs w:val="32"/>
        </w:rPr>
        <w:t>8</w:t>
      </w:r>
      <w:r w:rsidRPr="005C2972">
        <w:rPr>
          <w:rFonts w:ascii="仿宋_GB2312" w:eastAsia="仿宋_GB2312" w:hAnsi="Times New Roman" w:cs="Times New Roman"/>
          <w:kern w:val="0"/>
          <w:sz w:val="32"/>
          <w:szCs w:val="32"/>
        </w:rPr>
        <w:t>月</w:t>
      </w:r>
      <w:r w:rsidRPr="005C2972">
        <w:rPr>
          <w:rFonts w:ascii="Times New Roman" w:eastAsia="宋体" w:hAnsi="Times New Roman" w:cs="Times New Roman"/>
          <w:kern w:val="0"/>
          <w:sz w:val="32"/>
          <w:szCs w:val="32"/>
        </w:rPr>
        <w:t>26</w:t>
      </w:r>
      <w:r w:rsidRPr="005C2972">
        <w:rPr>
          <w:rFonts w:ascii="仿宋_GB2312" w:eastAsia="仿宋_GB2312" w:hAnsi="Times New Roman" w:cs="Times New Roman"/>
          <w:kern w:val="0"/>
          <w:sz w:val="32"/>
          <w:szCs w:val="32"/>
        </w:rPr>
        <w:t>日</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44"/>
          <w:szCs w:val="44"/>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44"/>
          <w:szCs w:val="44"/>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44"/>
          <w:szCs w:val="44"/>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44"/>
          <w:szCs w:val="44"/>
        </w:rPr>
        <w:t> </w:t>
      </w:r>
    </w:p>
    <w:p w:rsidR="005C2972" w:rsidRPr="005C2972" w:rsidRDefault="005C2972" w:rsidP="005C2972">
      <w:pPr>
        <w:widowControl/>
        <w:spacing w:before="100" w:beforeAutospacing="1" w:after="100" w:afterAutospacing="1"/>
        <w:ind w:firstLine="880"/>
        <w:jc w:val="left"/>
        <w:rPr>
          <w:rFonts w:ascii="宋体" w:eastAsia="宋体" w:hAnsi="宋体" w:cs="宋体"/>
          <w:kern w:val="0"/>
          <w:sz w:val="27"/>
          <w:szCs w:val="27"/>
        </w:rPr>
      </w:pPr>
      <w:r w:rsidRPr="005C2972">
        <w:rPr>
          <w:rFonts w:ascii="Times New Roman" w:eastAsia="宋体" w:hAnsi="Times New Roman" w:cs="Times New Roman"/>
          <w:kern w:val="0"/>
          <w:sz w:val="44"/>
          <w:szCs w:val="44"/>
        </w:rPr>
        <w:t> </w:t>
      </w:r>
    </w:p>
    <w:p w:rsidR="005C2972" w:rsidRPr="005C2972" w:rsidRDefault="005C2972" w:rsidP="005C2972">
      <w:pPr>
        <w:widowControl/>
        <w:spacing w:before="100" w:beforeAutospacing="1" w:after="100" w:afterAutospacing="1"/>
        <w:ind w:firstLine="880"/>
        <w:jc w:val="left"/>
        <w:rPr>
          <w:rFonts w:ascii="宋体" w:eastAsia="宋体" w:hAnsi="宋体" w:cs="宋体"/>
          <w:kern w:val="0"/>
          <w:sz w:val="27"/>
          <w:szCs w:val="27"/>
        </w:rPr>
      </w:pPr>
      <w:r w:rsidRPr="005C2972">
        <w:rPr>
          <w:rFonts w:ascii="Times New Roman" w:eastAsia="宋体" w:hAnsi="Times New Roman" w:cs="Times New Roman"/>
          <w:kern w:val="0"/>
          <w:sz w:val="44"/>
          <w:szCs w:val="44"/>
        </w:rPr>
        <w:t> </w:t>
      </w:r>
    </w:p>
    <w:p w:rsidR="005C2972" w:rsidRPr="005C2972" w:rsidRDefault="005C2972" w:rsidP="005C2972">
      <w:pPr>
        <w:widowControl/>
        <w:spacing w:before="100" w:beforeAutospacing="1" w:after="100" w:afterAutospacing="1"/>
        <w:ind w:firstLine="880"/>
        <w:jc w:val="left"/>
        <w:rPr>
          <w:rFonts w:ascii="宋体" w:eastAsia="宋体" w:hAnsi="宋体" w:cs="宋体"/>
          <w:kern w:val="0"/>
          <w:sz w:val="27"/>
          <w:szCs w:val="27"/>
        </w:rPr>
      </w:pPr>
      <w:r w:rsidRPr="005C2972">
        <w:rPr>
          <w:rFonts w:ascii="Times New Roman" w:eastAsia="宋体" w:hAnsi="Times New Roman" w:cs="Times New Roman"/>
          <w:kern w:val="0"/>
          <w:sz w:val="44"/>
          <w:szCs w:val="44"/>
        </w:rPr>
        <w:lastRenderedPageBreak/>
        <w:t> </w:t>
      </w:r>
    </w:p>
    <w:p w:rsidR="005C2972" w:rsidRPr="005C2972" w:rsidRDefault="005C2972" w:rsidP="005C2972">
      <w:pPr>
        <w:widowControl/>
        <w:jc w:val="left"/>
        <w:rPr>
          <w:rFonts w:ascii="宋体" w:eastAsia="宋体" w:hAnsi="宋体" w:cs="宋体"/>
          <w:kern w:val="0"/>
          <w:sz w:val="24"/>
          <w:szCs w:val="24"/>
        </w:rPr>
      </w:pPr>
      <w:r w:rsidRPr="005C2972">
        <w:rPr>
          <w:rFonts w:ascii="Times New Roman" w:eastAsia="宋体" w:hAnsi="Times New Roman" w:cs="Times New Roman"/>
          <w:kern w:val="0"/>
          <w:sz w:val="44"/>
          <w:szCs w:val="44"/>
        </w:rPr>
        <w:br w:type="textWrapping" w:clear="all"/>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44"/>
          <w:szCs w:val="44"/>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简体" w:eastAsia="方正小标宋简体" w:hAnsi="Times New Roman" w:cs="Times New Roman"/>
          <w:kern w:val="0"/>
          <w:sz w:val="44"/>
          <w:szCs w:val="44"/>
        </w:rPr>
        <w:t>医疗器械注册与备案管理办法</w:t>
      </w:r>
    </w:p>
    <w:p w:rsidR="005C2972" w:rsidRPr="005C2972" w:rsidRDefault="005C2972" w:rsidP="005C2972">
      <w:pPr>
        <w:widowControl/>
        <w:spacing w:line="560" w:lineRule="atLeast"/>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第一章　总　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为了规范医疗器械注册与备案行为，保证医疗器械的安全、有效和质量可控，根据《医疗器械监督管理条例》，制定本办法。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在中华人民共和国境内从事医疗器械注册、备案及其监督管理活动，适用本办法。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是指医疗器械注册申请人（以下简称申请人）依照法定程序和要求提出医疗器械注册申请，药品监督管理部门依据法律法规，基于科学认知，进行安全性、有效性和质量可控性等审查，决定是否同意其申请的活动。</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医疗器械备案是指医疗器械备案人（以下简称备案人）依照法定程序和要求向药品监督管理部门提交备案资料，药品监督管理部门对提交的备案资料存档备查的活动。</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国家药品监督管理局主管全国医疗器械注册与备案管理工作，负责建立医疗器械注册与备案管理工作体系</w:t>
      </w:r>
      <w:r w:rsidRPr="005C2972">
        <w:rPr>
          <w:rFonts w:ascii="仿宋_GB2312" w:eastAsia="仿宋_GB2312" w:hAnsi="Times New Roman" w:cs="Times New Roman"/>
          <w:kern w:val="0"/>
          <w:sz w:val="32"/>
          <w:szCs w:val="32"/>
        </w:rPr>
        <w:lastRenderedPageBreak/>
        <w:t>和制度，依法组织境内第三类和进口第二类、第三类医疗器械审评审批，进口第一类医疗器械备案以及相关监督管理工作，对地方医疗器械注册与备案工作进行监督指导。</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药品监督管理局医疗器械技术审评中心（以下简称国家局器械审评中心）负责需进行临床试验审批的医疗器械临床试验申请以及境内第三类和进口第二类、第三类医疗器械产品注册申请、变更注册申请、延续注册申请等的技术审评工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国家药品监督管理局医疗器械标准管理中心、中国食品药品检定研究院、国家药品监督管理局食品药品审核查验中心（以下简称国家局审核查验中心）、国家药品监督管理局药品评价中心、国家药品监督管理局行政事项受理服务和投诉举报中心、国家药品监督管理局信息中心等其他专业技术机构，依职责承担实施医疗器械监督管理所需的医疗器械标准管理、分类界定、检验、核查、监测与评价、制证送达以及相应的信息化建设与管理等相关工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省、自治区、直辖市药品监督管理部门负责本行政区域</w:t>
      </w:r>
      <w:proofErr w:type="gramStart"/>
      <w:r w:rsidRPr="005C2972">
        <w:rPr>
          <w:rFonts w:ascii="仿宋_GB2312" w:eastAsia="仿宋_GB2312" w:hAnsi="Times New Roman" w:cs="Times New Roman"/>
          <w:kern w:val="0"/>
          <w:sz w:val="32"/>
          <w:szCs w:val="32"/>
        </w:rPr>
        <w:t>内以下</w:t>
      </w:r>
      <w:proofErr w:type="gramEnd"/>
      <w:r w:rsidRPr="005C2972">
        <w:rPr>
          <w:rFonts w:ascii="仿宋_GB2312" w:eastAsia="仿宋_GB2312" w:hAnsi="Times New Roman" w:cs="Times New Roman"/>
          <w:kern w:val="0"/>
          <w:sz w:val="32"/>
          <w:szCs w:val="32"/>
        </w:rPr>
        <w:t>医疗器械注册相关管理工作：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（一）境内第二类医疗器械注册审评审批；</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（二）境内第二类、第三类医疗器械质量管理体系核查；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（三）依法组织医疗器械临床试验机构以及临床试验的监督管理；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lastRenderedPageBreak/>
        <w:t>（四）对设区的市级负责药品监督管理的部门境内第一类医疗器械备案的监督指导。</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省、自治区、直辖市药品监督管理部门设置或者指定的医疗器械专业技术机构，承担实施医疗器械监督管理所需的技术审评、检验、核查、监测与评价等工作。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设区的市级负责药品监督管理的部门负责境内第一类医疗器械产品备案管理工作。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医疗器械注册与备案管理遵循依法、科学、公开、公平、公正的原则。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第一类医疗器械实行产品备案管理。第二类、第三类医疗器械实行产品注册管理。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境内第一类医疗器械备案，备案人向设区的市级负责药品监督管理的部门提交备案资料。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境内第二类医疗器械由省、自治区、直辖市药品监督管理部门审查，批准后发给医疗器械注册证。</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境内第三类医疗器械由国家药品监督管理局审查，批准后发给医疗器械注册证。</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进口第一类医疗器械备案，备案人向国家药品监督管理局提交备案资料。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进口第二类、第三类医疗器械由国家药品监督管理局审查，批准后发给医疗器械注册证。</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医疗器械注册人、备案人应当加强医疗器械全生命周期质量管理，对研制、生产、经营、使用全过程中的医疗器械的安全性、有效性和质量可控性依法承担责任。</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国家药品监督管理局对临床急需医疗器械实行优先审批，对创新医疗器械实行特别审批，鼓励医疗器械的研究与创新，推动医疗器械产业高质量发展。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国家药品监督管理局依法建立健全医疗器械标准、技术指导原则等体系，规范医疗器械技术审评和质量管理体系核查，指导和服务医疗器械研发和注册申请。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药品监督管理部门依法及时公开医疗器械注册、备案相关信息，申请人可以查询审批进度和结果，公众可以查阅审批结果。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未经申请人同意，药品监督管理部门、专业技术机构及其工作人员、参与评审的专家等人员不得披露申请人或者备案人提交的商业秘密、未披露信息或者保密商务信息，法律另有规定或者涉及国家安全、重大社会公共利益的除外。</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第二章　基本要求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医疗器械注册、备案应当遵守相关法律、法规、规章、强制性标准，遵循医疗器械安全和性能基本原则，参照相关技术指导原则，证明注册、备案的医疗器械安全、</w:t>
      </w:r>
      <w:r w:rsidRPr="005C2972">
        <w:rPr>
          <w:rFonts w:ascii="仿宋_GB2312" w:eastAsia="仿宋_GB2312" w:hAnsi="Times New Roman" w:cs="Times New Roman"/>
          <w:kern w:val="0"/>
          <w:sz w:val="32"/>
          <w:szCs w:val="32"/>
        </w:rPr>
        <w:lastRenderedPageBreak/>
        <w:t>有效、质量可控，保证全过程信息真实、准确、完整和</w:t>
      </w:r>
      <w:proofErr w:type="gramStart"/>
      <w:r w:rsidRPr="005C2972">
        <w:rPr>
          <w:rFonts w:ascii="仿宋_GB2312" w:eastAsia="仿宋_GB2312" w:hAnsi="Times New Roman" w:cs="Times New Roman"/>
          <w:kern w:val="0"/>
          <w:sz w:val="32"/>
          <w:szCs w:val="32"/>
        </w:rPr>
        <w:t>可</w:t>
      </w:r>
      <w:proofErr w:type="gramEnd"/>
      <w:r w:rsidRPr="005C2972">
        <w:rPr>
          <w:rFonts w:ascii="仿宋_GB2312" w:eastAsia="仿宋_GB2312" w:hAnsi="Times New Roman" w:cs="Times New Roman"/>
          <w:kern w:val="0"/>
          <w:sz w:val="32"/>
          <w:szCs w:val="32"/>
        </w:rPr>
        <w:t>追溯。</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申请人、备案人应当为能够承担相应法律责任的企业或者研制机构。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境外申请人、备案人应当指定中国境内的企业法人作为代理人，办理相关医疗器械注册、备案事项。代理人应当依法协助注册人、备案人履行《医疗器械监督管理条例》第二十条第一款规定的义务，并协助境外注册人、备案人落实相应法律责任。</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申请人、备案人应当建立与产品相适应的质量管理体系，并保持有效运行。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第十六条</w:t>
      </w:r>
      <w:r w:rsidRPr="005C2972">
        <w:rPr>
          <w:rFonts w:ascii="Times New Roman" w:eastAsia="宋体" w:hAnsi="Times New Roman" w:cs="Times New Roman"/>
          <w:kern w:val="0"/>
          <w:sz w:val="32"/>
          <w:szCs w:val="32"/>
        </w:rPr>
        <w:t>  </w:t>
      </w:r>
      <w:r w:rsidRPr="005C2972">
        <w:rPr>
          <w:rFonts w:ascii="仿宋" w:eastAsia="仿宋" w:hAnsi="仿宋" w:cs="Times New Roman"/>
          <w:kern w:val="0"/>
          <w:sz w:val="32"/>
          <w:szCs w:val="32"/>
        </w:rPr>
        <w:t>办理医疗器械注册、备案事项的人员应当具有相应的专业知识，熟悉医疗器械注册、备案管理的法律、法规、规章和注册管理相关规定。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申请注册或者进行备案，应当按照国家药品监督管理局有关注册、备案的要求提交相关资料，申请人、备案人对资料的真实性负责。</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注册、备案资料应当使用中文。根据外文资料翻译的，应当同时提供原文。引用未公开发表的文献资料时，应当提供资料权利人许可使用的文件。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申请进口医疗器械注册、办理进口医疗器械备案，应当提交申请人、备案人注册地或者生产地所在国家（地区）主管部门准许该医疗器械上市销售的证明文件。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申请人、备案人注册地或者生产地所在国家（地区）未将该产品作为医疗器械管理的，申请人、备案人需提供相关文件，包括注册地或者生产地所在国家（地区）准许该产品上市销售的证明文件。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未在申请人、备案人注册地或者生产地所在国家（地区）上市的创新医疗器械，不需提交相关文件。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医疗器械应当符合适用的强制性标准。产品结构特征、预期用途、使用方式等与强制性标准的适用范围不一致的，申请人、备案人应当提出不适用强制性标准的说明，并提供相关资料。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没有强制性标准的，鼓励申请人、备案人采用推荐性标准。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医疗器械注册、备案工作应当遵循医疗器械分类规则和分类目录的有关要求。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药品监督管理部门持续推进</w:t>
      </w:r>
      <w:proofErr w:type="gramStart"/>
      <w:r w:rsidRPr="005C2972">
        <w:rPr>
          <w:rFonts w:ascii="仿宋_GB2312" w:eastAsia="仿宋_GB2312" w:hAnsi="Times New Roman" w:cs="Times New Roman"/>
          <w:kern w:val="0"/>
          <w:sz w:val="32"/>
          <w:szCs w:val="32"/>
        </w:rPr>
        <w:t>审评审批</w:t>
      </w:r>
      <w:proofErr w:type="gramEnd"/>
      <w:r w:rsidRPr="005C2972">
        <w:rPr>
          <w:rFonts w:ascii="仿宋_GB2312" w:eastAsia="仿宋_GB2312" w:hAnsi="Times New Roman" w:cs="Times New Roman"/>
          <w:kern w:val="0"/>
          <w:sz w:val="32"/>
          <w:szCs w:val="32"/>
        </w:rPr>
        <w:t>制度改革，加强医疗器械监管科学研究，建立以技术审评为主导，核查、检验、监测与评价等为支撑的医疗器械注册管理技术体系，优化</w:t>
      </w:r>
      <w:proofErr w:type="gramStart"/>
      <w:r w:rsidRPr="005C2972">
        <w:rPr>
          <w:rFonts w:ascii="仿宋_GB2312" w:eastAsia="仿宋_GB2312" w:hAnsi="Times New Roman" w:cs="Times New Roman"/>
          <w:kern w:val="0"/>
          <w:sz w:val="32"/>
          <w:szCs w:val="32"/>
        </w:rPr>
        <w:t>审评审批</w:t>
      </w:r>
      <w:proofErr w:type="gramEnd"/>
      <w:r w:rsidRPr="005C2972">
        <w:rPr>
          <w:rFonts w:ascii="仿宋_GB2312" w:eastAsia="仿宋_GB2312" w:hAnsi="Times New Roman" w:cs="Times New Roman"/>
          <w:kern w:val="0"/>
          <w:sz w:val="32"/>
          <w:szCs w:val="32"/>
        </w:rPr>
        <w:t>流程，提高</w:t>
      </w:r>
      <w:proofErr w:type="gramStart"/>
      <w:r w:rsidRPr="005C2972">
        <w:rPr>
          <w:rFonts w:ascii="仿宋_GB2312" w:eastAsia="仿宋_GB2312" w:hAnsi="Times New Roman" w:cs="Times New Roman"/>
          <w:kern w:val="0"/>
          <w:sz w:val="32"/>
          <w:szCs w:val="32"/>
        </w:rPr>
        <w:t>审评审批</w:t>
      </w:r>
      <w:proofErr w:type="gramEnd"/>
      <w:r w:rsidRPr="005C2972">
        <w:rPr>
          <w:rFonts w:ascii="仿宋_GB2312" w:eastAsia="仿宋_GB2312" w:hAnsi="Times New Roman" w:cs="Times New Roman"/>
          <w:kern w:val="0"/>
          <w:sz w:val="32"/>
          <w:szCs w:val="32"/>
        </w:rPr>
        <w:t>能力，提升</w:t>
      </w:r>
      <w:proofErr w:type="gramStart"/>
      <w:r w:rsidRPr="005C2972">
        <w:rPr>
          <w:rFonts w:ascii="仿宋_GB2312" w:eastAsia="仿宋_GB2312" w:hAnsi="Times New Roman" w:cs="Times New Roman"/>
          <w:kern w:val="0"/>
          <w:sz w:val="32"/>
          <w:szCs w:val="32"/>
        </w:rPr>
        <w:t>审评审批</w:t>
      </w:r>
      <w:proofErr w:type="gramEnd"/>
      <w:r w:rsidRPr="005C2972">
        <w:rPr>
          <w:rFonts w:ascii="仿宋_GB2312" w:eastAsia="仿宋_GB2312" w:hAnsi="Times New Roman" w:cs="Times New Roman"/>
          <w:kern w:val="0"/>
          <w:sz w:val="32"/>
          <w:szCs w:val="32"/>
        </w:rPr>
        <w:t>质量和效率。</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第二十二条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医疗器械专业技术机构建立健全沟通交流制度，明确沟通交流的形式和内容，根据工作需要组织与申请人进行沟通交流。</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医疗器械专业技术机构根据工作需要建立专家咨询制度，在审评、核查、检验等过程中就重大问题听取专家意见，充分发挥专家的技术支撑作用。</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第三章　医疗器械注册</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第一节</w:t>
      </w:r>
      <w:r w:rsidRPr="005C2972">
        <w:rPr>
          <w:rFonts w:ascii="Times New Roman" w:eastAsia="宋体" w:hAnsi="Times New Roman" w:cs="Times New Roman"/>
          <w:kern w:val="0"/>
          <w:sz w:val="32"/>
          <w:szCs w:val="32"/>
        </w:rPr>
        <w:t>  </w:t>
      </w:r>
      <w:r w:rsidRPr="005C2972">
        <w:rPr>
          <w:rFonts w:ascii="黑体" w:eastAsia="黑体" w:hAnsi="黑体" w:cs="Times New Roman"/>
          <w:kern w:val="0"/>
          <w:sz w:val="32"/>
          <w:szCs w:val="32"/>
        </w:rPr>
        <w:t>产品研制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医疗器械研制应当遵循风险管理原则，考虑现有公认技术水平，确保产品所有已知和</w:t>
      </w:r>
      <w:proofErr w:type="gramStart"/>
      <w:r w:rsidRPr="005C2972">
        <w:rPr>
          <w:rFonts w:ascii="仿宋_GB2312" w:eastAsia="仿宋_GB2312" w:hAnsi="Times New Roman" w:cs="Times New Roman"/>
          <w:kern w:val="0"/>
          <w:sz w:val="32"/>
          <w:szCs w:val="32"/>
        </w:rPr>
        <w:t>可</w:t>
      </w:r>
      <w:proofErr w:type="gramEnd"/>
      <w:r w:rsidRPr="005C2972">
        <w:rPr>
          <w:rFonts w:ascii="仿宋_GB2312" w:eastAsia="仿宋_GB2312" w:hAnsi="Times New Roman" w:cs="Times New Roman"/>
          <w:kern w:val="0"/>
          <w:sz w:val="32"/>
          <w:szCs w:val="32"/>
        </w:rPr>
        <w:t>预见的风险以及非预期影响最小化并可接受，保证产品在正常使用中受益大于风险。</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从事医疗器械产品研制实验活动，应当符合我国相关法律、法规和强制性标准等的要求。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申请人、备案人应当编制申请注册或者进行备案医疗器械的产品技术要求。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产品技术要求主要包括医疗器械成品的可进行客观判定的功能性、安全性指标和检测方法。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医疗器械应当符合经注册或者备案的产品技术要求。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申请人、备案人应当编制申请注册或者进行备案医疗器械的产品说明书和标签。</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lastRenderedPageBreak/>
        <w:t>产品说明书和标签应当符合《医疗器械监督管理条例》第三十九条要求以及相关规定。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医疗器械研</w:t>
      </w:r>
      <w:r w:rsidRPr="005C2972">
        <w:rPr>
          <w:rFonts w:ascii="仿宋_GB2312" w:eastAsia="仿宋_GB2312" w:hAnsi="Times New Roman" w:cs="Times New Roman"/>
          <w:spacing w:val="-11"/>
          <w:kern w:val="0"/>
          <w:sz w:val="32"/>
          <w:szCs w:val="32"/>
        </w:rPr>
        <w:t>制，应当根据产品适用范围和技术特征开展医疗器械非临床研究。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非临床研究包括产品化学和物理性能研究，电气安全研究，辐射安全研究，软件研究，生物学特性研究，生物</w:t>
      </w:r>
      <w:proofErr w:type="gramStart"/>
      <w:r w:rsidRPr="005C2972">
        <w:rPr>
          <w:rFonts w:ascii="仿宋_GB2312" w:eastAsia="仿宋_GB2312" w:hAnsi="Times New Roman" w:cs="Times New Roman"/>
          <w:kern w:val="0"/>
          <w:sz w:val="32"/>
          <w:szCs w:val="32"/>
        </w:rPr>
        <w:t>源材料</w:t>
      </w:r>
      <w:proofErr w:type="gramEnd"/>
      <w:r w:rsidRPr="005C2972">
        <w:rPr>
          <w:rFonts w:ascii="仿宋_GB2312" w:eastAsia="仿宋_GB2312" w:hAnsi="Times New Roman" w:cs="Times New Roman"/>
          <w:kern w:val="0"/>
          <w:sz w:val="32"/>
          <w:szCs w:val="32"/>
        </w:rPr>
        <w:t>安全性研究，消毒、灭菌工艺研究，动物试验研究，稳定性研究等。</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申请注册或者进行备案，应当提交研制活动中产生的非临床证据，包括非临床研究报告综述、研究方案和研究报告。</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第二十九条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医疗器械非临床研究过程中确定的功能性、安全性指标及方法应当与产品预期使用条件、目的相适应，研究样品应当具有代表性和典型性。必要时，应当进行方法学验证、统计学分析。</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申请注册或者进行备案，应当按照产品技术要求进行检验，并提交检验报告。检验合格的，方可开展临床试验或者申请注册、进行备案。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检验用产品应当能够代表申请注册或者进行备案产品的安全性和有效性，其生产应当符合医疗器械生产质量管理规范的相关要求。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第三十二条</w:t>
      </w:r>
      <w:r w:rsidRPr="005C2972">
        <w:rPr>
          <w:rFonts w:ascii="Times New Roman" w:eastAsia="宋体" w:hAnsi="Times New Roman" w:cs="Times New Roman"/>
          <w:kern w:val="0"/>
          <w:sz w:val="32"/>
          <w:szCs w:val="32"/>
        </w:rPr>
        <w:t xml:space="preserve">  </w:t>
      </w:r>
      <w:r w:rsidRPr="005C2972">
        <w:rPr>
          <w:rFonts w:ascii="仿宋_GB2312" w:eastAsia="仿宋_GB2312" w:hAnsi="Times New Roman" w:cs="Times New Roman"/>
          <w:kern w:val="0"/>
          <w:sz w:val="32"/>
          <w:szCs w:val="32"/>
        </w:rPr>
        <w:t>申请注册或者进行备案提交的医疗器械产品检验报告可以是申请人、备案人的自检报告，也可以是委托有资质的医疗器械检验机构出具的检验报告。</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第二节</w:t>
      </w:r>
      <w:r w:rsidRPr="005C2972">
        <w:rPr>
          <w:rFonts w:ascii="Times New Roman" w:eastAsia="宋体" w:hAnsi="Times New Roman" w:cs="Times New Roman"/>
          <w:kern w:val="0"/>
          <w:sz w:val="32"/>
          <w:szCs w:val="32"/>
        </w:rPr>
        <w:t>  </w:t>
      </w:r>
      <w:r w:rsidRPr="005C2972">
        <w:rPr>
          <w:rFonts w:ascii="黑体" w:eastAsia="黑体" w:hAnsi="黑体" w:cs="Times New Roman"/>
          <w:kern w:val="0"/>
          <w:sz w:val="32"/>
          <w:szCs w:val="32"/>
        </w:rPr>
        <w:t>临床评价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除本办法第三十四条规定情形外，医疗器械产品注册、备案，应当进行临床评价。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医疗器械临床评价是指采用科学合理的方法对临床数据进行分析、评价，以确认医疗器械在其适用范围内的安全性、有效性的活动。</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申请医疗器械注册，应当提交临床评价资料。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有下列情形之一的，可以免于进行临床评价：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（一）工作机理明确、设计定型，生产工艺成熟，已上市的同品种医疗器械临床应用多年且无严重不良事件记录，不改变常规用途的；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（二）其他通过非临床评价能够证明该医疗器械安全、有效的。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免于进行临床评价的，可以免于提交临床评价资料。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免于进行临床评价的医疗器械目录由国家药品监督管理局制定、调整并公布。</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开展医疗器械临床评价，可以根据产品特征、临床风险、已有临床数据等情形，通过开展临床试验，</w:t>
      </w:r>
      <w:r w:rsidRPr="005C2972">
        <w:rPr>
          <w:rFonts w:ascii="仿宋_GB2312" w:eastAsia="仿宋_GB2312" w:hAnsi="Times New Roman" w:cs="Times New Roman"/>
          <w:kern w:val="0"/>
          <w:sz w:val="32"/>
          <w:szCs w:val="32"/>
        </w:rPr>
        <w:lastRenderedPageBreak/>
        <w:t>或者通过对同品种医疗器械临床文献资料、临床数据进行分析评价，证明医疗器械的安全性、有效性。</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按照国家药品监督管理局的规定，进行医疗器械临床评价时，已有临床文献资料、临床数据不足以确认产品安全、有效的医疗器械，应当开展临床试验。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国家药品监督管理局制定医疗器械临床评价指南，</w:t>
      </w:r>
      <w:proofErr w:type="gramStart"/>
      <w:r w:rsidRPr="005C2972">
        <w:rPr>
          <w:rFonts w:ascii="仿宋_GB2312" w:eastAsia="仿宋_GB2312" w:hAnsi="Times New Roman" w:cs="Times New Roman"/>
          <w:kern w:val="0"/>
          <w:sz w:val="32"/>
          <w:szCs w:val="32"/>
        </w:rPr>
        <w:t>明确通过</w:t>
      </w:r>
      <w:proofErr w:type="gramEnd"/>
      <w:r w:rsidRPr="005C2972">
        <w:rPr>
          <w:rFonts w:ascii="仿宋_GB2312" w:eastAsia="仿宋_GB2312" w:hAnsi="Times New Roman" w:cs="Times New Roman"/>
          <w:kern w:val="0"/>
          <w:sz w:val="32"/>
          <w:szCs w:val="32"/>
        </w:rPr>
        <w:t>同品种医疗器械临床文献资料、临床数据进行临床评价的要求，需要开展临床试验的情形，临床评价报告的撰写要求等。</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通过同品种医疗器械临床文献资料、临床数据进行临床评价的，临床评价资料包括申请注册产品与同品种医疗器械的对比，同品种医疗器械临床数据的分析评价，申请注册产品与同品种产品存在差异时的科学证据以及评价结论等内容。</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通过临床试验开展临床评价的，临床评价资料包括临床试验方案、伦理委员会意见、知情同意书、临床试验报告等。</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开展医疗器械临床试验，应当按照医疗器械临床试验质量管理规范的要求，在具备相应条件并按照规定备案的医疗器械临床试验机构内进行。临床试验开始前，临床试验申办者应当向所在地省、自治区、直辖市药品监督管理部门进行临床试验备案。临床试验医疗器械的生产应当符合医疗器械生产质量管理规范的相关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第三十八条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第三类医疗器械进行临床试验对人体具有较高风险的，应当经国家药品监督管理局批准。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临床试验审批是指国家药品监督管理局根据申请人的申请，对拟开展临床试验的医疗器械的风险程度、临床试验方案、临床受益与风险对比分析报告等进行综合分析，以决定是否同意开展临床试验的过程。</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需进行临床试验审批的第三类医疗器械目录由国家药品监督管理局制定、调整并公布。需进行临床试验审批的第三类医疗器械临床试验应在符合要求的三级甲等医疗机构开展。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第三十九条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需进行医疗器械临床试验审批的，申请人应当按照相关要求提交综述资料、研究资料、临床资料、产品说明书和标签样稿等申请资料。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国家局器械审评中心对受理的临床试验申请进行审评。对临床试验申请应当自受理申请之日</w:t>
      </w:r>
      <w:r w:rsidRPr="005C2972">
        <w:rPr>
          <w:rFonts w:ascii="Times New Roman" w:eastAsia="宋体" w:hAnsi="Times New Roman" w:cs="Times New Roman"/>
          <w:kern w:val="0"/>
          <w:sz w:val="32"/>
          <w:szCs w:val="32"/>
        </w:rPr>
        <w:t>60</w:t>
      </w:r>
      <w:r w:rsidRPr="005C2972">
        <w:rPr>
          <w:rFonts w:ascii="仿宋_GB2312" w:eastAsia="仿宋_GB2312" w:hAnsi="Times New Roman" w:cs="Times New Roman"/>
          <w:kern w:val="0"/>
          <w:sz w:val="32"/>
          <w:szCs w:val="32"/>
        </w:rPr>
        <w:t>日内</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是否同意的决定，并通过国家局器械审评中心网站通知申请人。逾期未通知的，视为同意。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审评过程中需要申请人补正资料的，国家局器械审评中心应当一次告知需要补正的全部内容。申请人应当在收到补正通知</w:t>
      </w:r>
      <w:r w:rsidRPr="005C2972">
        <w:rPr>
          <w:rFonts w:ascii="Times New Roman" w:eastAsia="宋体" w:hAnsi="Times New Roman" w:cs="Times New Roman"/>
          <w:kern w:val="0"/>
          <w:sz w:val="32"/>
          <w:szCs w:val="32"/>
        </w:rPr>
        <w:t>1</w:t>
      </w:r>
      <w:r w:rsidRPr="005C2972">
        <w:rPr>
          <w:rFonts w:ascii="仿宋_GB2312" w:eastAsia="仿宋_GB2312" w:hAnsi="Times New Roman" w:cs="Times New Roman"/>
          <w:kern w:val="0"/>
          <w:sz w:val="32"/>
          <w:szCs w:val="32"/>
        </w:rPr>
        <w:t>年内，按照补正通知的要求一次提供补充资料。国家局器械审评中心收到补充资料后，按照规定的时限完成技术审评。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lastRenderedPageBreak/>
        <w:t>申请人对补正通知内容有异议的，可以向国家局器械审评中心提出书面意见，说明理由并提供相应的技术支持资料。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申请人逾期未提交补充资料的，终止技术审评，</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不予批准的决定。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于医疗器械临床试验期间出现的临床试验医疗器械相关严重不良事件，或者其他严重安全性风险信息，临床试验申办者应当按照相关要求，分别向所在地和临床试验机构所在地省、自治区、直辖市药品监督管理部门报告，并采取风险控制措施。未采取风险控制措施的，省、自治区、直辖市药品监督管理部门依法责令申办者采取相应的风险控制措施。</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临床试验中出现大范围临床试验医疗器械相关严重不良事件，或者其他重大安全性问题时，申办者应当暂停或者终止医疗器械临床试验，分别向所在地和临床试验机构所在地省、自治区、直辖市药品监督管理部门报告。未暂停或者终止的，省、自治区、直辖市药品监督管理部门依法责令申办者采取相应的风险控制措施。</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已批准开展的临床试验，有下列情形之一的，国家药品监督管理局可以责令申请人终止已开展的医疗器械临床试验：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（一）临床试验申请资料虚假的；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lastRenderedPageBreak/>
        <w:t>（二</w:t>
      </w:r>
      <w:r w:rsidRPr="005C2972">
        <w:rPr>
          <w:rFonts w:ascii="仿宋_GB2312" w:eastAsia="仿宋_GB2312" w:hAnsi="Times New Roman" w:cs="Times New Roman"/>
          <w:spacing w:val="6"/>
          <w:kern w:val="0"/>
          <w:sz w:val="32"/>
          <w:szCs w:val="32"/>
        </w:rPr>
        <w:t>）已有最新研究证实原批准的临床试验伦理性和科学</w:t>
      </w:r>
      <w:r w:rsidRPr="005C2972">
        <w:rPr>
          <w:rFonts w:ascii="仿宋_GB2312" w:eastAsia="仿宋_GB2312" w:hAnsi="Times New Roman" w:cs="Times New Roman"/>
          <w:kern w:val="0"/>
          <w:sz w:val="32"/>
          <w:szCs w:val="32"/>
        </w:rPr>
        <w:t>性存在问题的；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（三）其他应当终止的情形。</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医疗器械临床试验应当在批准后</w:t>
      </w:r>
      <w:r w:rsidRPr="005C2972">
        <w:rPr>
          <w:rFonts w:ascii="Times New Roman" w:eastAsia="宋体" w:hAnsi="Times New Roman" w:cs="Times New Roman"/>
          <w:kern w:val="0"/>
          <w:sz w:val="32"/>
          <w:szCs w:val="32"/>
        </w:rPr>
        <w:t>3</w:t>
      </w:r>
      <w:r w:rsidRPr="005C2972">
        <w:rPr>
          <w:rFonts w:ascii="仿宋_GB2312" w:eastAsia="仿宋_GB2312" w:hAnsi="Times New Roman" w:cs="Times New Roman"/>
          <w:kern w:val="0"/>
          <w:sz w:val="32"/>
          <w:szCs w:val="32"/>
        </w:rPr>
        <w:t>年内实施；医疗器械临床试验申请自批准之日起，</w:t>
      </w:r>
      <w:r w:rsidRPr="005C2972">
        <w:rPr>
          <w:rFonts w:ascii="Times New Roman" w:eastAsia="宋体" w:hAnsi="Times New Roman" w:cs="Times New Roman"/>
          <w:kern w:val="0"/>
          <w:sz w:val="32"/>
          <w:szCs w:val="32"/>
        </w:rPr>
        <w:t>3</w:t>
      </w:r>
      <w:r w:rsidRPr="005C2972">
        <w:rPr>
          <w:rFonts w:ascii="仿宋_GB2312" w:eastAsia="仿宋_GB2312" w:hAnsi="Times New Roman" w:cs="Times New Roman"/>
          <w:kern w:val="0"/>
          <w:sz w:val="32"/>
          <w:szCs w:val="32"/>
        </w:rPr>
        <w:t>年内未有受试者签署知情同意书的，该医疗器械临床试验许可自行失效。仍需进行临床试验的，应当重新申请。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第三节　注册体系核查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人应当在申请注册时提交与产品研制、生产有关的质量管理体系相关资料，受理注册申请的药品监督管理部门在产品技术审评时认为有必要对质量管理体系进行核查的，应当组织开展质量管理体系核查，并可以根据需要调阅原始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境内第三类医疗器械质量管理体系核查，由国家局器械审评中心通知申请人所在地的省、自治区、直辖市药品监督管理部门开展。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lastRenderedPageBreak/>
        <w:t>境内第二类医疗器械质量管理体系核查，由申请人所在地的省、自治区、直辖市药品监督管理部门组织开展。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第四十九条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省、自治区、直辖市药品监督管理部门按照医疗器械生产质量管理规范的要求开展质量管理体系核查，重点对申请人是否按照医疗器械生产质量管理规范的要求建立与产品相适应的质量管理体系，以及与产品研制、生产有关的设计开发、生产管理、质量控制等内容进行核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在核查过程中，应当同时对检验用产品和临床试验产品的真实性进行核查，重点查阅设计开发过程相关记录，以及检验用产品和临床试验产品生产过程的相关记录。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提交自检报告的，应当对申请人、备案人或者受托机构研制过程中的检验能力、检验结果等进行重点核查。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省、自治区、直辖市药品监督管理部门可以通过资料审查或者现场检查的方式开展质量管理体系核查。根据申请人的具体情况、监督检查情况、本次申请注册产品与既往已通过核查产品生产条件及工艺对比情况等，确定是否现场检查以及检查内容，避免重复检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国家局器械审评中心对进口第二类、第三类医疗器械开展技术审评时，认为有必要进行质量管理体系核查的，通知国家局审核查验中心根据相关要求开展核查。</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第四节　产品注册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第五十二条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人应当在完成支持医疗器械注册的安全性、有效性研究，做好接受质量管理体系核查的准备后，提出医疗器械注册申请，并按照相关要求，通过在线注册申请等途径向药品监督管理部门提交下列注册申请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（一）产品风险分析资料；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（二）产品技术要求；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（三）产品检验报告；</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（四）临床评价资料；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（五）产品说明书以及标签样稿；</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（六）与产品研制、生产有关的质量管理体系文件；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（七）证明产品安全、有效所需的其他资料。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药品监督管理部门收到申请后对申请资料进行审核，并根据下列情况分别</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处理：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（一）申请事项属于本行政机关职权范围，申请资料齐全、符合形式审核要求的，予以受理；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（二）申请资料存在可以当场更正的错误的，应当允许申请人当场更正；</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（三）申请资料不齐全或者不符合法定形式的，应当当场或者在</w:t>
      </w:r>
      <w:r w:rsidRPr="005C2972">
        <w:rPr>
          <w:rFonts w:ascii="Times New Roman" w:eastAsia="宋体" w:hAnsi="Times New Roman" w:cs="Times New Roman"/>
          <w:kern w:val="0"/>
          <w:sz w:val="32"/>
          <w:szCs w:val="32"/>
        </w:rPr>
        <w:t>5</w:t>
      </w:r>
      <w:r w:rsidRPr="005C2972">
        <w:rPr>
          <w:rFonts w:ascii="仿宋_GB2312" w:eastAsia="仿宋_GB2312" w:hAnsi="Times New Roman" w:cs="Times New Roman"/>
          <w:kern w:val="0"/>
          <w:sz w:val="32"/>
          <w:szCs w:val="32"/>
        </w:rPr>
        <w:t>日内一次告知申请人需要补正的全部内容，逾期不告知的，自收到申请资料之日起即为受理；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lastRenderedPageBreak/>
        <w:t>（四）申请事项依法不属于本行政机关职权范围的，应当即时</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不予受理的决定，并告知申请人向有关行政机关申请。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药品监督管理部门受理或者不予受理医疗器械注册申请，应当出具加盖本行政机关专用印章和注明日期的受理或者不予受理的通知书。</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医疗器械注册申请受理后，需要申请人缴纳费用的，申请人应当按规定缴纳费用。申请人未在规定期限内缴纳费用的，视为申请人主动撤回申请，药品监督管理部门终止其注册程序。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技术审评过程中需要申请人补正资料的，技术审评机构应当一次告知需要补正的全部内容。申请人应当在收到补正通知</w:t>
      </w:r>
      <w:r w:rsidRPr="005C2972">
        <w:rPr>
          <w:rFonts w:ascii="Times New Roman" w:eastAsia="宋体" w:hAnsi="Times New Roman" w:cs="Times New Roman"/>
          <w:kern w:val="0"/>
          <w:sz w:val="32"/>
          <w:szCs w:val="32"/>
        </w:rPr>
        <w:t>1</w:t>
      </w:r>
      <w:r w:rsidRPr="005C2972">
        <w:rPr>
          <w:rFonts w:ascii="仿宋_GB2312" w:eastAsia="仿宋_GB2312" w:hAnsi="Times New Roman" w:cs="Times New Roman"/>
          <w:kern w:val="0"/>
          <w:sz w:val="32"/>
          <w:szCs w:val="32"/>
        </w:rPr>
        <w:t>年内，按照补正通知要求一次提供补充资料；技术审评机构收到补充资料后，在规定的时限内完成技术审评。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申请人对补正通知内容有异议的，可以向相应的技术审评机构提出书面意见，说明理由并提供相应的技术支持资料。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申请人逾期未提交补充资料的，终止技术审评，药品监督管理部门</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不予注册的决定。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对于已受理的注册申请，申请人可以在行政许可决定</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前，向受理该申请的药品监督管理部门申请</w:t>
      </w:r>
      <w:r w:rsidRPr="005C2972">
        <w:rPr>
          <w:rFonts w:ascii="仿宋_GB2312" w:eastAsia="仿宋_GB2312" w:hAnsi="Times New Roman" w:cs="Times New Roman"/>
          <w:kern w:val="0"/>
          <w:sz w:val="32"/>
          <w:szCs w:val="32"/>
        </w:rPr>
        <w:lastRenderedPageBreak/>
        <w:t>撤回注册申请及相关资料，并说明理由。同意撤回申请的，药品监督管理部门终止其注册程序。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审评、核查、审批过程中发现涉嫌存在隐瞒真实情况或者提供虚假信息等违法行为的，依法处理，申请人不得撤回医疗器械注册申请。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对于已受理的注册申请，有证据表明注册申请资料可能虚假的，药品监督管理部门可以中止审评审批。经核实后，根据核实结论继续审查或者</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不予注册的决定。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医疗器械注册申请审评期间，对于拟作出不通过的审评结论的，技术审评机构应当告知申请人不通过的理由，申请人可以在</w:t>
      </w:r>
      <w:r w:rsidRPr="005C2972">
        <w:rPr>
          <w:rFonts w:ascii="Times New Roman" w:eastAsia="宋体" w:hAnsi="Times New Roman" w:cs="Times New Roman"/>
          <w:kern w:val="0"/>
          <w:sz w:val="32"/>
          <w:szCs w:val="32"/>
        </w:rPr>
        <w:t>15</w:t>
      </w:r>
      <w:r w:rsidRPr="005C2972">
        <w:rPr>
          <w:rFonts w:ascii="仿宋_GB2312" w:eastAsia="仿宋_GB2312" w:hAnsi="Times New Roman" w:cs="Times New Roman"/>
          <w:kern w:val="0"/>
          <w:sz w:val="32"/>
          <w:szCs w:val="32"/>
        </w:rPr>
        <w:t>日内向技术审评机构提出异议，异议内容仅限于原申请事项和原申请资料。技术审评机构结合申请人的异议意见进行综合评估并反馈申请人。异议处理时间不计入审评时限。</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第五十八条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受理注册申请的药品监督管理部门应当在技术审评结束后，</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是否批准的决定。对符合安全、有效、质量可控要求的，准予注册，发给医疗器械注册证，经过核准的产品技术要求以附件形式发给申请人。对不予注册的，应当书面说明理由，并同时告知申请人享有依法申请行政复议或者提起行政诉讼的权利。</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医疗器械注册证有效期为</w:t>
      </w:r>
      <w:r w:rsidRPr="005C2972">
        <w:rPr>
          <w:rFonts w:ascii="Times New Roman" w:eastAsia="宋体" w:hAnsi="Times New Roman" w:cs="Times New Roman"/>
          <w:kern w:val="0"/>
          <w:sz w:val="32"/>
          <w:szCs w:val="32"/>
        </w:rPr>
        <w:t>5</w:t>
      </w:r>
      <w:r w:rsidRPr="005C2972">
        <w:rPr>
          <w:rFonts w:ascii="仿宋_GB2312" w:eastAsia="仿宋_GB2312" w:hAnsi="Times New Roman" w:cs="Times New Roman"/>
          <w:kern w:val="0"/>
          <w:sz w:val="32"/>
          <w:szCs w:val="32"/>
        </w:rPr>
        <w:t>年。</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第五十九条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对于已受理的注册申请，有下列情形之一的，药品监督管理部门</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不予注册的决定，并告知申请人：</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（一）申请人对拟上市销售医疗器械的安全性、有效性、质量可控性进行的研究及其结果无法证明产品安全、有效、质量可控的；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（二）质量管理体系核查不通过，以及申请人拒绝接受质量管理体系现场检查的；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（三）注册申请资料虚假的；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（四）注册申请资料内容混乱、矛盾，注册申请资料内容与申请项目明显不符，不能证明产品安全、有效、质量可控的；</w:t>
      </w:r>
    </w:p>
    <w:p w:rsidR="005C2972" w:rsidRPr="005C2972" w:rsidRDefault="005C2972" w:rsidP="005C2972">
      <w:pPr>
        <w:widowControl/>
        <w:spacing w:line="560" w:lineRule="atLeast"/>
        <w:ind w:left="640"/>
        <w:rPr>
          <w:rFonts w:ascii="Calibri" w:eastAsia="宋体" w:hAnsi="Calibri" w:cs="Calibri"/>
          <w:kern w:val="0"/>
          <w:szCs w:val="21"/>
        </w:rPr>
      </w:pPr>
      <w:r w:rsidRPr="005C2972">
        <w:rPr>
          <w:rFonts w:ascii="仿宋_GB2312" w:eastAsia="仿宋_GB2312" w:hAnsi="Times New Roman" w:cs="Times New Roman"/>
          <w:kern w:val="0"/>
          <w:sz w:val="32"/>
          <w:szCs w:val="32"/>
        </w:rPr>
        <w:t>（五）不予注册的其他情形。</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法律、法规、规章规定实施行政许可应当听证的事项，或者药品监督管理部门认为需要听证的其他涉及公共利益的重大行政许可事项，药品监督管理部门应当向社会公告，并举行听证。医疗器械注册申请直接涉及申请人与他人之间重大利益关系的，药品监督管理部门在</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行政许可决定前，应当告知申请人、利害关系人享有要求听证的权利。</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对用于治疗罕见疾病、严重危及生命且尚无有效治疗手段的疾病和应对公共卫生事件等急需的医疗器械，药品监督管理部门可以</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附条件批准决定，并在医</w:t>
      </w:r>
      <w:r w:rsidRPr="005C2972">
        <w:rPr>
          <w:rFonts w:ascii="仿宋_GB2312" w:eastAsia="仿宋_GB2312" w:hAnsi="Times New Roman" w:cs="Times New Roman"/>
          <w:kern w:val="0"/>
          <w:sz w:val="32"/>
          <w:szCs w:val="32"/>
        </w:rPr>
        <w:lastRenderedPageBreak/>
        <w:t>疗器械注册证中载明有效期、上市后需要继续完成的研究工作及完成时限等相关事项。</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对附条件批准的医疗器械，注册人应当在医疗器械上市后收集受益和风险相关</w:t>
      </w:r>
      <w:r w:rsidRPr="005C2972">
        <w:rPr>
          <w:rFonts w:ascii="仿宋_GB2312" w:eastAsia="仿宋_GB2312" w:hAnsi="Times New Roman" w:cs="Times New Roman"/>
          <w:spacing w:val="-6"/>
          <w:kern w:val="0"/>
          <w:sz w:val="32"/>
          <w:szCs w:val="32"/>
        </w:rPr>
        <w:t>数据，持续对产品的受益和风险开展监测与评估，采取有效措施主动管控风险，并在规定期限内按照要求完成研究并提交相关资料。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对附条件批准的医疗器械，注册人逾期未按照要求完成研究或者不能证明其受益大于风险的，注册人应当及时申请办理医疗器械注册证注销手续，药品监督管理部门可以依法注销医疗器械注册证。</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对新研制的尚未列入分类目录的医疗器械，申请人可以直接申请第三类医疗器械产品注册，也可以依据分类规则判断产品类别并向国家药品监督管理局申请类别确认后，申请产品注册或者进行产品备案。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直接申请第三类医疗器械注册的，国家药品监督管理局按照风险程度确定类别。境内医疗器械确定为第二类或者第一类的，应当告知申请人向相应的药品监督管理部门申请注册或者进行备案。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已注册的医疗器械，其管理类别由高类别调整为低类别的，医疗器械注册证在有效期内继续有效。有效期届满需要延续的，应当在医疗器械注册证有效期届满</w:t>
      </w:r>
      <w:r w:rsidRPr="005C2972">
        <w:rPr>
          <w:rFonts w:ascii="Times New Roman" w:eastAsia="宋体" w:hAnsi="Times New Roman" w:cs="Times New Roman"/>
          <w:kern w:val="0"/>
          <w:sz w:val="32"/>
          <w:szCs w:val="32"/>
        </w:rPr>
        <w:t>6</w:t>
      </w:r>
      <w:r w:rsidRPr="005C2972">
        <w:rPr>
          <w:rFonts w:ascii="仿宋_GB2312" w:eastAsia="仿宋_GB2312" w:hAnsi="Times New Roman" w:cs="Times New Roman"/>
          <w:kern w:val="0"/>
          <w:sz w:val="32"/>
          <w:szCs w:val="32"/>
        </w:rPr>
        <w:lastRenderedPageBreak/>
        <w:t>个月前，按照调整后的类别向相应的药品监督管理部门申请延续注册或者进行备案。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医疗器械管理类别由低类别调整为高类别的，注册人应当按照改变后的类别向相应的药品监督管理部门申请注册。国家药品监督管理局在管理类别调整通知中应当对完成调整的时限</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规定。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医疗器械注册证及其附件遗失、损毁的，注册人应当向原发证机关申请补发，原发证机关核实后予以补发。</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注册申请审查过程中及批准后发生专利权纠纷的，应当按照有关法律、法规的规定处理。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第四章</w:t>
      </w:r>
      <w:r w:rsidRPr="005C2972">
        <w:rPr>
          <w:rFonts w:ascii="Times New Roman" w:eastAsia="宋体" w:hAnsi="Times New Roman" w:cs="Times New Roman"/>
          <w:kern w:val="0"/>
          <w:sz w:val="32"/>
          <w:szCs w:val="32"/>
        </w:rPr>
        <w:t>  </w:t>
      </w:r>
      <w:r w:rsidRPr="005C2972">
        <w:rPr>
          <w:rFonts w:ascii="方正小标宋_GBK" w:eastAsia="方正小标宋_GBK" w:hAnsi="Times New Roman" w:cs="Times New Roman"/>
          <w:kern w:val="0"/>
          <w:sz w:val="32"/>
          <w:szCs w:val="32"/>
        </w:rPr>
        <w:t>特殊注册程序</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第一节</w:t>
      </w:r>
      <w:r w:rsidRPr="005C2972">
        <w:rPr>
          <w:rFonts w:ascii="Times New Roman" w:eastAsia="宋体" w:hAnsi="Times New Roman" w:cs="Times New Roman"/>
          <w:kern w:val="0"/>
          <w:sz w:val="32"/>
          <w:szCs w:val="32"/>
        </w:rPr>
        <w:t>  </w:t>
      </w:r>
      <w:r w:rsidRPr="005C2972">
        <w:rPr>
          <w:rFonts w:ascii="黑体" w:eastAsia="黑体" w:hAnsi="黑体" w:cs="Times New Roman"/>
          <w:kern w:val="0"/>
          <w:sz w:val="32"/>
          <w:szCs w:val="32"/>
        </w:rPr>
        <w:t>创新产品注册程序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符合下列要求的医疗器械，申请人可以申请适用创新产品注册程序：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（一）申请人通过其主导的技术创新活动，在中国依法拥有产品核心技术发明专利权，或者依法通过受</w:t>
      </w:r>
      <w:proofErr w:type="gramStart"/>
      <w:r w:rsidRPr="005C2972">
        <w:rPr>
          <w:rFonts w:ascii="仿宋_GB2312" w:eastAsia="仿宋_GB2312" w:hAnsi="Times New Roman" w:cs="Times New Roman"/>
          <w:kern w:val="0"/>
          <w:sz w:val="32"/>
          <w:szCs w:val="32"/>
        </w:rPr>
        <w:t>让取得</w:t>
      </w:r>
      <w:proofErr w:type="gramEnd"/>
      <w:r w:rsidRPr="005C2972">
        <w:rPr>
          <w:rFonts w:ascii="仿宋_GB2312" w:eastAsia="仿宋_GB2312" w:hAnsi="Times New Roman" w:cs="Times New Roman"/>
          <w:kern w:val="0"/>
          <w:sz w:val="32"/>
          <w:szCs w:val="32"/>
        </w:rPr>
        <w:t>在中国发明专利权或其使用权，且申请适用创新产品注册程序的时间在专利授权公告日起</w:t>
      </w:r>
      <w:r w:rsidRPr="005C2972">
        <w:rPr>
          <w:rFonts w:ascii="Times New Roman" w:eastAsia="宋体" w:hAnsi="Times New Roman" w:cs="Times New Roman"/>
          <w:kern w:val="0"/>
          <w:sz w:val="32"/>
          <w:szCs w:val="32"/>
        </w:rPr>
        <w:t>5</w:t>
      </w:r>
      <w:r w:rsidRPr="005C2972">
        <w:rPr>
          <w:rFonts w:ascii="仿宋_GB2312" w:eastAsia="仿宋_GB2312" w:hAnsi="Times New Roman" w:cs="Times New Roman"/>
          <w:kern w:val="0"/>
          <w:sz w:val="32"/>
          <w:szCs w:val="32"/>
        </w:rPr>
        <w:t>年内；或者核心技术发明专利的申请已由国务院专利行政部门公开，并由国家知识产权局专</w:t>
      </w:r>
      <w:r w:rsidRPr="005C2972">
        <w:rPr>
          <w:rFonts w:ascii="仿宋_GB2312" w:eastAsia="仿宋_GB2312" w:hAnsi="Times New Roman" w:cs="Times New Roman"/>
          <w:kern w:val="0"/>
          <w:sz w:val="32"/>
          <w:szCs w:val="32"/>
        </w:rPr>
        <w:lastRenderedPageBreak/>
        <w:t>利检索咨询中心出具检索报告，载明产品核心技术方案具备新颖性和创造性；</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（二）申请人已完成产品的前期研究并具有基本定型产品，研究过程真实和受控，研究数据完整和</w:t>
      </w:r>
      <w:proofErr w:type="gramStart"/>
      <w:r w:rsidRPr="005C2972">
        <w:rPr>
          <w:rFonts w:ascii="仿宋_GB2312" w:eastAsia="仿宋_GB2312" w:hAnsi="Times New Roman" w:cs="Times New Roman"/>
          <w:kern w:val="0"/>
          <w:sz w:val="32"/>
          <w:szCs w:val="32"/>
        </w:rPr>
        <w:t>可</w:t>
      </w:r>
      <w:proofErr w:type="gramEnd"/>
      <w:r w:rsidRPr="005C2972">
        <w:rPr>
          <w:rFonts w:ascii="仿宋_GB2312" w:eastAsia="仿宋_GB2312" w:hAnsi="Times New Roman" w:cs="Times New Roman"/>
          <w:kern w:val="0"/>
          <w:sz w:val="32"/>
          <w:szCs w:val="32"/>
        </w:rPr>
        <w:t>溯源；</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（三）产品主要工作原理或者作用机理为国内首创，产品性能或者安全性与同类产品比较有根本性改进，技术上处于国际领先水平，且具有显著的临床应用价值。</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第六十九条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申请适用创新产品注册程序的，申请人应当在产品基本定型后，向国家药品监督管理局提出创新医疗器械审查申请。国家药品监督管理局组织专家进行审查，符合要求的，纳入创新产品注册程序。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对于适用创新产品注册程序的医疗器械注册申请，国家药品监督管理局以及承担相关技术工作的机构，根据各自职责指定专人负责，及时沟通，提供指导。</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纳入创新产品注册程序的医疗器械，国家局器械审评中心可以与申请人在注册申请受理前以及技术审评过程中就产品研制中的重大技术问题、重大安全性问题、临床试验方案、阶段性临床试验结果的总结与评价等问题沟通交流。</w:t>
      </w: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纳入创新产品注册程序的医疗器械，申请人主动要求终止或者国家药品监督管理局发现不再符合创新产品注册程序要求的，国家药品监督管理局终止相关产品的创新产品注册程序并告知申请人。</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第七十二条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纳入创新产品注册程序的医疗器械，申请人在规定期限内未提出注册申请的，不再适用创新产品注册程序。</w:t>
      </w: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第二节</w:t>
      </w:r>
      <w:r w:rsidRPr="005C2972">
        <w:rPr>
          <w:rFonts w:ascii="Times New Roman" w:eastAsia="宋体" w:hAnsi="Times New Roman" w:cs="Times New Roman"/>
          <w:kern w:val="0"/>
          <w:sz w:val="32"/>
          <w:szCs w:val="32"/>
        </w:rPr>
        <w:t>  </w:t>
      </w:r>
      <w:r w:rsidRPr="005C2972">
        <w:rPr>
          <w:rFonts w:ascii="黑体" w:eastAsia="黑体" w:hAnsi="黑体" w:cs="Times New Roman"/>
          <w:kern w:val="0"/>
          <w:sz w:val="32"/>
          <w:szCs w:val="32"/>
        </w:rPr>
        <w:t>优先注册程序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满足下列情形之一的医疗器械，可以申请适用优先注册程序：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诊断或者治疗罕见病、恶性肿瘤且具有明显临床优势，诊断或者治疗老年人特有和多发疾病且目前尚无有效诊断或者治疗手段，专用于儿童且具有明显临床优势，或者临床急需且在我国尚无同品种产品获准注册的医疗器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（二）列入国家科技重大专项或者国家重点研发计划的医疗器械；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（三）国家药品监督管理局规定的其他可以适用优先注册程序的医疗器械。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适用优先注册程序的，申请人应当在提出医疗器械注册申请时，向国家药品监督管理局提出适用优先注册程序的申请。属于第七十三条第一项情形的，由国家药品监督管理局组织专家进行审核，符合的，纳入优先注册程序；属于第七十三条第二项情形的，由国家局器械审评中心进行审核，符合的，纳入优先注册程序；属于第七十三条第三项情形的，由国家药品监督管理局广泛听取意见，并组织专家论证后确定是否纳入优先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第七十五条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对纳入优先注册程序的医疗器械注册申请，国家药品监督管理局优先进行审评审批，省、自治区、直辖市药品监督管理部门优先安排医疗器械注册质量管理体系核查。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国家局器械审评中心在对纳入优先注册程序的医疗器械产品开展技术审评过程中，应当按照相关规定积极与申请人进行沟通交流，必要时，可以安排专项交流。</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第三节</w:t>
      </w:r>
      <w:r w:rsidRPr="005C2972">
        <w:rPr>
          <w:rFonts w:ascii="Times New Roman" w:eastAsia="宋体" w:hAnsi="Times New Roman" w:cs="Times New Roman"/>
          <w:kern w:val="0"/>
          <w:sz w:val="32"/>
          <w:szCs w:val="32"/>
        </w:rPr>
        <w:t>  </w:t>
      </w:r>
      <w:r w:rsidRPr="005C2972">
        <w:rPr>
          <w:rFonts w:ascii="黑体" w:eastAsia="黑体" w:hAnsi="黑体" w:cs="Times New Roman"/>
          <w:kern w:val="0"/>
          <w:sz w:val="32"/>
          <w:szCs w:val="32"/>
        </w:rPr>
        <w:t>应急注册程序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国家药品监督管理局可以依法对突发公共卫生事件应急所需且在我国境内尚无同类产品上市，或者虽在我国境内已有同类产品上市但产品供应不能满足突发公共卫生事件应急处理需要的医疗器械实施应急注册。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申请适用应急注册程序的，申请人应当向国家药品监督管理局提出应急注册申请。符合条件的，纳入应急注册程序。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第七十八条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对实施应急注册的医疗器械注册申请，国家药品监督管理局按照统一指挥、早期介入、随到随审、科学审批的要求办理，并行开展医疗器械产品检验、体系核查、技术审评等工作。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第五章　变更注册与延续注册</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第一节</w:t>
      </w:r>
      <w:r w:rsidRPr="005C2972">
        <w:rPr>
          <w:rFonts w:ascii="Times New Roman" w:eastAsia="宋体" w:hAnsi="Times New Roman" w:cs="Times New Roman"/>
          <w:kern w:val="0"/>
          <w:sz w:val="32"/>
          <w:szCs w:val="32"/>
        </w:rPr>
        <w:t>  </w:t>
      </w:r>
      <w:r w:rsidRPr="005C2972">
        <w:rPr>
          <w:rFonts w:ascii="黑体" w:eastAsia="黑体" w:hAnsi="黑体" w:cs="Times New Roman"/>
          <w:kern w:val="0"/>
          <w:sz w:val="32"/>
          <w:szCs w:val="32"/>
        </w:rPr>
        <w:t>变更注册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第七十九条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注册人应当主动开展医疗器械上市后研究，对医疗器械的安全性、有效性和质量可控性进行进一步确认，加强对已上市医疗器械的持续管理。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已注册的第二类、第三类医疗器械产品，其设计、原材料、生产工艺、适用范围、使用方法等发生实质性变化，有可能影响该医疗器械安全、有效的，注册人应当向原注册部门申请办理变更注册手续；发生其他变化的，应当在变化之日起</w:t>
      </w:r>
      <w:r w:rsidRPr="005C2972">
        <w:rPr>
          <w:rFonts w:ascii="Times New Roman" w:eastAsia="宋体" w:hAnsi="Times New Roman" w:cs="Times New Roman"/>
          <w:kern w:val="0"/>
          <w:sz w:val="32"/>
          <w:szCs w:val="32"/>
        </w:rPr>
        <w:t>30</w:t>
      </w:r>
      <w:r w:rsidRPr="005C2972">
        <w:rPr>
          <w:rFonts w:ascii="仿宋_GB2312" w:eastAsia="仿宋_GB2312" w:hAnsi="Times New Roman" w:cs="Times New Roman"/>
          <w:kern w:val="0"/>
          <w:sz w:val="32"/>
          <w:szCs w:val="32"/>
        </w:rPr>
        <w:t>日内向原注册部门备案。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注册证载明的产品名称、型号、规格、结构及组成、适用范围、产品技术要求、进口医疗器械的生产地址等，属于前款规定的需要办理变更注册的事项。注册人名称和住所、代理人名称和住所等，属于前款规定的需要备案的事项。境内医疗器械生产地址变更的，注册人应当在办理相应的生产许可变更后办理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发生其他变化的，注册人应当按照质量管理体系要求做好相关工作，并按照规定向药品监督管理部门报告。</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对于变更注册申请，技术审评机构应当重点针对变化部分进行审评，对变化后产品是否安全、有效、质量可控形成审评意见。</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在对变更注册申请进行技术审评时，认为有必要对质量管理体系进行核查的，药品监督管理部门应当组织开展质量管理体系核查。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第八十一条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医疗器械变更注册文件与原医疗器械注册证合并使用，有效期截止日期与原医疗器械注册证相同。</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黑体" w:eastAsia="黑体" w:hAnsi="黑体" w:cs="Times New Roman"/>
          <w:kern w:val="0"/>
          <w:sz w:val="32"/>
          <w:szCs w:val="32"/>
        </w:rPr>
        <w:t>第二节</w:t>
      </w:r>
      <w:r w:rsidRPr="005C2972">
        <w:rPr>
          <w:rFonts w:ascii="Times New Roman" w:eastAsia="宋体" w:hAnsi="Times New Roman" w:cs="Times New Roman"/>
          <w:kern w:val="0"/>
          <w:sz w:val="32"/>
          <w:szCs w:val="32"/>
        </w:rPr>
        <w:t>  </w:t>
      </w:r>
      <w:r w:rsidRPr="005C2972">
        <w:rPr>
          <w:rFonts w:ascii="黑体" w:eastAsia="黑体" w:hAnsi="黑体" w:cs="Times New Roman"/>
          <w:kern w:val="0"/>
          <w:sz w:val="32"/>
          <w:szCs w:val="32"/>
        </w:rPr>
        <w:t>延续注册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医疗器械注册证有效期届满需要延续注册的，注册人应当在医疗器械注册证有效期届满</w:t>
      </w:r>
      <w:r w:rsidRPr="005C2972">
        <w:rPr>
          <w:rFonts w:ascii="Times New Roman" w:eastAsia="宋体" w:hAnsi="Times New Roman" w:cs="Times New Roman"/>
          <w:kern w:val="0"/>
          <w:sz w:val="32"/>
          <w:szCs w:val="32"/>
        </w:rPr>
        <w:t>6</w:t>
      </w:r>
      <w:r w:rsidRPr="005C2972">
        <w:rPr>
          <w:rFonts w:ascii="仿宋_GB2312" w:eastAsia="仿宋_GB2312" w:hAnsi="Times New Roman" w:cs="Times New Roman"/>
          <w:kern w:val="0"/>
          <w:sz w:val="32"/>
          <w:szCs w:val="32"/>
        </w:rPr>
        <w:t>个月前，向原注册部门申请延续注册，并按照相关要求提交申请资料。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除有本办法第八十三条规定情形外，接到延续注册申请的药品监督管理部门应当在医疗器械注册证有效期届满前作出准予延续的决定。逾期未作决定的，视为准予延续。</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有下列情形之一的，不予延续注册：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（一）未在规定期限内提出延续注册申请；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（二）新的医疗器械强制性标准发布实施，申请延续注册的医疗器械不能达到新要求；</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（三）附条件批准的医疗器械，未在规定期限内完成医疗器械注册证载明事项。</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延续注册的批准时间在原注册证有效期内的，延续注册的注册证有效期起始日为原注册证到期日次日；批准时间不在原注册证有效期内的，延续注册的注册证有效期起始日为批准延续注册的日期。</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医疗器械变更注册申请、延续注册申请的受理与审批程序，本章未作规定的，适用本办法第三章的相关规定。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lastRenderedPageBreak/>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第六章　医疗器械备案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第一类医疗器械生产前，应当进行产品备案。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进行医疗器械备案，备案人应当按照《医疗器械监督管理条例》的规定向药品监督管理部门提交备案资料，获取备案编号。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已备案的医疗器械，备案信息表中登载内容及备案的产品技术要求发生变化的，备案人应当向原备案部门变更备案，并提交变化情况的说明以及相关文件。药品监督管理部门应当将变更情况登载于备案信息中。</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第八十九条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已备案的医疗器械管理类别调整为第二类或者第三类医疗器械的，应当按照本办法规定申请注册。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第七章</w:t>
      </w:r>
      <w:r w:rsidRPr="005C2972">
        <w:rPr>
          <w:rFonts w:ascii="Times New Roman" w:eastAsia="宋体" w:hAnsi="Times New Roman" w:cs="Times New Roman"/>
          <w:kern w:val="0"/>
          <w:sz w:val="32"/>
          <w:szCs w:val="32"/>
        </w:rPr>
        <w:t>  </w:t>
      </w:r>
      <w:r w:rsidRPr="005C2972">
        <w:rPr>
          <w:rFonts w:ascii="方正小标宋_GBK" w:eastAsia="方正小标宋_GBK" w:hAnsi="Times New Roman" w:cs="Times New Roman"/>
          <w:kern w:val="0"/>
          <w:sz w:val="32"/>
          <w:szCs w:val="32"/>
        </w:rPr>
        <w:t>工作时限</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本办法所规定的时限是医疗器械注册的受理、技术审评、核查、审批等工作的最长时间。特殊注册程序相关工作时限，按特殊注册程序相关规定执行。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国家局器械审评中心等专业技术机构应当明确本单位工作程序和时限，并向社会公布。</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药品监督管理部门收到医疗器械注册申请及临床试验申请后，应当自受理之日起</w:t>
      </w:r>
      <w:r w:rsidRPr="005C2972">
        <w:rPr>
          <w:rFonts w:ascii="Times New Roman" w:eastAsia="宋体" w:hAnsi="Times New Roman" w:cs="Times New Roman"/>
          <w:kern w:val="0"/>
          <w:sz w:val="32"/>
          <w:szCs w:val="32"/>
        </w:rPr>
        <w:t>3</w:t>
      </w:r>
      <w:r w:rsidRPr="005C2972">
        <w:rPr>
          <w:rFonts w:ascii="仿宋_GB2312" w:eastAsia="仿宋_GB2312" w:hAnsi="Times New Roman" w:cs="Times New Roman"/>
          <w:kern w:val="0"/>
          <w:sz w:val="32"/>
          <w:szCs w:val="32"/>
        </w:rPr>
        <w:t>日内将申请资料转</w:t>
      </w:r>
      <w:r w:rsidRPr="005C2972">
        <w:rPr>
          <w:rFonts w:ascii="仿宋_GB2312" w:eastAsia="仿宋_GB2312" w:hAnsi="Times New Roman" w:cs="Times New Roman"/>
          <w:kern w:val="0"/>
          <w:sz w:val="32"/>
          <w:szCs w:val="32"/>
        </w:rPr>
        <w:lastRenderedPageBreak/>
        <w:t>交技术审评机构。临床试验申请的受理要求适用于本办法第五十三条规定。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医疗器械注册技术审评时限，按照以下规定执行：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（一）医疗器械临床试验申请的技术审评时限为</w:t>
      </w:r>
      <w:r w:rsidRPr="005C2972">
        <w:rPr>
          <w:rFonts w:ascii="Times New Roman" w:eastAsia="宋体" w:hAnsi="Times New Roman" w:cs="Times New Roman"/>
          <w:kern w:val="0"/>
          <w:sz w:val="32"/>
          <w:szCs w:val="32"/>
        </w:rPr>
        <w:t>60</w:t>
      </w:r>
      <w:r w:rsidRPr="005C2972">
        <w:rPr>
          <w:rFonts w:ascii="仿宋_GB2312" w:eastAsia="仿宋_GB2312" w:hAnsi="Times New Roman" w:cs="Times New Roman"/>
          <w:kern w:val="0"/>
          <w:sz w:val="32"/>
          <w:szCs w:val="32"/>
        </w:rPr>
        <w:t>日，申请资料补正后的技术审评时限为</w:t>
      </w:r>
      <w:r w:rsidRPr="005C2972">
        <w:rPr>
          <w:rFonts w:ascii="Times New Roman" w:eastAsia="宋体" w:hAnsi="Times New Roman" w:cs="Times New Roman"/>
          <w:kern w:val="0"/>
          <w:sz w:val="32"/>
          <w:szCs w:val="32"/>
        </w:rPr>
        <w:t>40</w:t>
      </w:r>
      <w:r w:rsidRPr="005C2972">
        <w:rPr>
          <w:rFonts w:ascii="仿宋_GB2312" w:eastAsia="仿宋_GB2312" w:hAnsi="Times New Roman" w:cs="Times New Roman"/>
          <w:kern w:val="0"/>
          <w:sz w:val="32"/>
          <w:szCs w:val="32"/>
        </w:rPr>
        <w:t>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（二）第二类医疗器械注册申</w:t>
      </w:r>
      <w:r w:rsidRPr="005C2972">
        <w:rPr>
          <w:rFonts w:ascii="仿宋_GB2312" w:eastAsia="仿宋_GB2312" w:hAnsi="Times New Roman" w:cs="Times New Roman"/>
          <w:spacing w:val="-6"/>
          <w:kern w:val="0"/>
          <w:sz w:val="32"/>
          <w:szCs w:val="32"/>
        </w:rPr>
        <w:t>请、变更注册申请、延续注册申请的技术审评时限为</w:t>
      </w:r>
      <w:r w:rsidRPr="005C2972">
        <w:rPr>
          <w:rFonts w:ascii="Times New Roman" w:eastAsia="宋体" w:hAnsi="Times New Roman" w:cs="Times New Roman"/>
          <w:spacing w:val="-6"/>
          <w:kern w:val="0"/>
          <w:sz w:val="32"/>
          <w:szCs w:val="32"/>
        </w:rPr>
        <w:t>60</w:t>
      </w:r>
      <w:r w:rsidRPr="005C2972">
        <w:rPr>
          <w:rFonts w:ascii="仿宋_GB2312" w:eastAsia="仿宋_GB2312" w:hAnsi="Times New Roman" w:cs="Times New Roman"/>
          <w:spacing w:val="-6"/>
          <w:kern w:val="0"/>
          <w:sz w:val="32"/>
          <w:szCs w:val="32"/>
        </w:rPr>
        <w:t>日</w:t>
      </w:r>
      <w:r w:rsidRPr="005C2972">
        <w:rPr>
          <w:rFonts w:ascii="仿宋_GB2312" w:eastAsia="仿宋_GB2312" w:hAnsi="Times New Roman" w:cs="Times New Roman"/>
          <w:kern w:val="0"/>
          <w:sz w:val="32"/>
          <w:szCs w:val="32"/>
        </w:rPr>
        <w:t>，申请资料补正后的技术审评时限为</w:t>
      </w:r>
      <w:r w:rsidRPr="005C2972">
        <w:rPr>
          <w:rFonts w:ascii="Times New Roman" w:eastAsia="宋体" w:hAnsi="Times New Roman" w:cs="Times New Roman"/>
          <w:kern w:val="0"/>
          <w:sz w:val="32"/>
          <w:szCs w:val="32"/>
        </w:rPr>
        <w:t>60</w:t>
      </w:r>
      <w:r w:rsidRPr="005C2972">
        <w:rPr>
          <w:rFonts w:ascii="仿宋_GB2312" w:eastAsia="仿宋_GB2312" w:hAnsi="Times New Roman" w:cs="Times New Roman"/>
          <w:kern w:val="0"/>
          <w:sz w:val="32"/>
          <w:szCs w:val="32"/>
        </w:rPr>
        <w:t>日</w:t>
      </w:r>
      <w:r w:rsidRPr="005C2972">
        <w:rPr>
          <w:rFonts w:ascii="仿宋_GB2312" w:eastAsia="仿宋_GB2312" w:hAnsi="Times New Roman" w:cs="Times New Roman"/>
          <w:spacing w:val="-6"/>
          <w:kern w:val="0"/>
          <w:sz w:val="32"/>
          <w:szCs w:val="32"/>
        </w:rPr>
        <w:t>；</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（三）第三类医疗器械注册申请、变更注册申请、延续注册申请的技术审评时限为</w:t>
      </w:r>
      <w:r w:rsidRPr="005C2972">
        <w:rPr>
          <w:rFonts w:ascii="Times New Roman" w:eastAsia="宋体" w:hAnsi="Times New Roman" w:cs="Times New Roman"/>
          <w:kern w:val="0"/>
          <w:sz w:val="32"/>
          <w:szCs w:val="32"/>
        </w:rPr>
        <w:t>90</w:t>
      </w:r>
      <w:r w:rsidRPr="005C2972">
        <w:rPr>
          <w:rFonts w:ascii="仿宋_GB2312" w:eastAsia="仿宋_GB2312" w:hAnsi="Times New Roman" w:cs="Times New Roman"/>
          <w:kern w:val="0"/>
          <w:sz w:val="32"/>
          <w:szCs w:val="32"/>
        </w:rPr>
        <w:t>日，申请资料补正后的技术审评时限为</w:t>
      </w:r>
      <w:r w:rsidRPr="005C2972">
        <w:rPr>
          <w:rFonts w:ascii="Times New Roman" w:eastAsia="宋体" w:hAnsi="Times New Roman" w:cs="Times New Roman"/>
          <w:kern w:val="0"/>
          <w:sz w:val="32"/>
          <w:szCs w:val="32"/>
        </w:rPr>
        <w:t>60</w:t>
      </w:r>
      <w:r w:rsidRPr="005C2972">
        <w:rPr>
          <w:rFonts w:ascii="仿宋_GB2312" w:eastAsia="仿宋_GB2312" w:hAnsi="Times New Roman" w:cs="Times New Roman"/>
          <w:kern w:val="0"/>
          <w:sz w:val="32"/>
          <w:szCs w:val="32"/>
        </w:rPr>
        <w:t>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境内第三类医疗器械质量管理体系核查时限，按照以下规定执行：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Calibri" w:cs="Calibri" w:hint="eastAsia"/>
          <w:kern w:val="0"/>
          <w:sz w:val="32"/>
          <w:szCs w:val="32"/>
        </w:rPr>
        <w:t>（一）</w:t>
      </w:r>
      <w:r w:rsidRPr="005C2972">
        <w:rPr>
          <w:rFonts w:ascii="仿宋_GB2312" w:eastAsia="仿宋_GB2312" w:hAnsi="Times New Roman" w:cs="Times New Roman"/>
          <w:kern w:val="0"/>
          <w:sz w:val="32"/>
          <w:szCs w:val="32"/>
        </w:rPr>
        <w:t>国家局器械审评中心应当在医疗器械注册申请受理后</w:t>
      </w:r>
      <w:r w:rsidRPr="005C2972">
        <w:rPr>
          <w:rFonts w:ascii="Times New Roman" w:eastAsia="宋体" w:hAnsi="Times New Roman" w:cs="Times New Roman"/>
          <w:kern w:val="0"/>
          <w:sz w:val="32"/>
          <w:szCs w:val="32"/>
        </w:rPr>
        <w:t>10</w:t>
      </w:r>
      <w:r w:rsidRPr="005C2972">
        <w:rPr>
          <w:rFonts w:ascii="仿宋_GB2312" w:eastAsia="仿宋_GB2312" w:hAnsi="Times New Roman" w:cs="Times New Roman"/>
          <w:kern w:val="0"/>
          <w:sz w:val="32"/>
          <w:szCs w:val="32"/>
        </w:rPr>
        <w:t>日内通知相关省、自治区、直辖市药品监督管理部门启动核查；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（二）省、自治区、直辖市药品监督管理部门原则上在接到核查通知后</w:t>
      </w:r>
      <w:r w:rsidRPr="005C2972">
        <w:rPr>
          <w:rFonts w:ascii="Times New Roman" w:eastAsia="宋体" w:hAnsi="Times New Roman" w:cs="Times New Roman"/>
          <w:kern w:val="0"/>
          <w:sz w:val="32"/>
          <w:szCs w:val="32"/>
        </w:rPr>
        <w:t>30</w:t>
      </w:r>
      <w:r w:rsidRPr="005C2972">
        <w:rPr>
          <w:rFonts w:ascii="仿宋_GB2312" w:eastAsia="仿宋_GB2312" w:hAnsi="Times New Roman" w:cs="Times New Roman"/>
          <w:kern w:val="0"/>
          <w:sz w:val="32"/>
          <w:szCs w:val="32"/>
        </w:rPr>
        <w:t>日内完成核查，并将核查情况、核查结果等相关材料反馈至国家局器械审评中心。</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受理注册申请的药品监督管理部门应当自收到审评意见之日起</w:t>
      </w:r>
      <w:r w:rsidRPr="005C2972">
        <w:rPr>
          <w:rFonts w:ascii="Times New Roman" w:eastAsia="宋体" w:hAnsi="Times New Roman" w:cs="Times New Roman"/>
          <w:kern w:val="0"/>
          <w:sz w:val="32"/>
          <w:szCs w:val="32"/>
        </w:rPr>
        <w:t>20</w:t>
      </w:r>
      <w:r w:rsidRPr="005C2972">
        <w:rPr>
          <w:rFonts w:ascii="仿宋_GB2312" w:eastAsia="仿宋_GB2312" w:hAnsi="Times New Roman" w:cs="Times New Roman"/>
          <w:kern w:val="0"/>
          <w:sz w:val="32"/>
          <w:szCs w:val="32"/>
        </w:rPr>
        <w:t>日内</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决定。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第九十五条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药品监督管理部门应当自</w:t>
      </w:r>
      <w:proofErr w:type="gramStart"/>
      <w:r w:rsidRPr="005C2972">
        <w:rPr>
          <w:rFonts w:ascii="仿宋_GB2312" w:eastAsia="仿宋_GB2312" w:hAnsi="Times New Roman" w:cs="Times New Roman"/>
          <w:kern w:val="0"/>
          <w:sz w:val="32"/>
          <w:szCs w:val="32"/>
        </w:rPr>
        <w:t>作出</w:t>
      </w:r>
      <w:proofErr w:type="gramEnd"/>
      <w:r w:rsidRPr="005C2972">
        <w:rPr>
          <w:rFonts w:ascii="仿宋_GB2312" w:eastAsia="仿宋_GB2312" w:hAnsi="Times New Roman" w:cs="Times New Roman"/>
          <w:kern w:val="0"/>
          <w:sz w:val="32"/>
          <w:szCs w:val="32"/>
        </w:rPr>
        <w:t>医疗器械注册审批决定之日起</w:t>
      </w:r>
      <w:r w:rsidRPr="005C2972">
        <w:rPr>
          <w:rFonts w:ascii="Times New Roman" w:eastAsia="宋体" w:hAnsi="Times New Roman" w:cs="Times New Roman"/>
          <w:kern w:val="0"/>
          <w:sz w:val="32"/>
          <w:szCs w:val="32"/>
        </w:rPr>
        <w:t>10</w:t>
      </w:r>
      <w:r w:rsidRPr="005C2972">
        <w:rPr>
          <w:rFonts w:ascii="仿宋_GB2312" w:eastAsia="仿宋_GB2312" w:hAnsi="Times New Roman" w:cs="Times New Roman"/>
          <w:kern w:val="0"/>
          <w:sz w:val="32"/>
          <w:szCs w:val="32"/>
        </w:rPr>
        <w:t>日内颁发、送达有关行政许可证件。</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因产品特性以及技术审评、核查等工作遇到特殊情况确需延长时限的，延长时限不得超过原时限的二分之一，经医疗器械技术审评、核查等相关技术机构负责人批准后，由延长时限的技术机构书面告知申请人，并通知其他相关技术机构。</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原发证机关应当自收到医疗器械注册证补办申请之日起</w:t>
      </w:r>
      <w:r w:rsidRPr="005C2972">
        <w:rPr>
          <w:rFonts w:ascii="Times New Roman" w:eastAsia="宋体" w:hAnsi="Times New Roman" w:cs="Times New Roman"/>
          <w:kern w:val="0"/>
          <w:sz w:val="32"/>
          <w:szCs w:val="32"/>
        </w:rPr>
        <w:t>20</w:t>
      </w:r>
      <w:r w:rsidRPr="005C2972">
        <w:rPr>
          <w:rFonts w:ascii="仿宋_GB2312" w:eastAsia="仿宋_GB2312" w:hAnsi="Times New Roman" w:cs="Times New Roman"/>
          <w:kern w:val="0"/>
          <w:sz w:val="32"/>
          <w:szCs w:val="32"/>
        </w:rPr>
        <w:t>日内予以补发。</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以下时间不计入相关工作时限：</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（一）申请人补充资料、核查后整改等所占用的时间；</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（二）因申请人原因延迟核查的时间；</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（三）外聘专家咨询、召开专家咨询会、药械组合产品需要与药品审评机构联合审评的时间；</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（四）根据规定中止</w:t>
      </w:r>
      <w:proofErr w:type="gramStart"/>
      <w:r w:rsidRPr="005C2972">
        <w:rPr>
          <w:rFonts w:ascii="仿宋_GB2312" w:eastAsia="仿宋_GB2312" w:hAnsi="Times New Roman" w:cs="Times New Roman"/>
          <w:kern w:val="0"/>
          <w:sz w:val="32"/>
          <w:szCs w:val="32"/>
        </w:rPr>
        <w:t>审评审批</w:t>
      </w:r>
      <w:proofErr w:type="gramEnd"/>
      <w:r w:rsidRPr="005C2972">
        <w:rPr>
          <w:rFonts w:ascii="仿宋_GB2312" w:eastAsia="仿宋_GB2312" w:hAnsi="Times New Roman" w:cs="Times New Roman"/>
          <w:kern w:val="0"/>
          <w:sz w:val="32"/>
          <w:szCs w:val="32"/>
        </w:rPr>
        <w:t>程序的，中止</w:t>
      </w:r>
      <w:proofErr w:type="gramStart"/>
      <w:r w:rsidRPr="005C2972">
        <w:rPr>
          <w:rFonts w:ascii="仿宋_GB2312" w:eastAsia="仿宋_GB2312" w:hAnsi="Times New Roman" w:cs="Times New Roman"/>
          <w:kern w:val="0"/>
          <w:sz w:val="32"/>
          <w:szCs w:val="32"/>
        </w:rPr>
        <w:t>审评审批</w:t>
      </w:r>
      <w:proofErr w:type="gramEnd"/>
      <w:r w:rsidRPr="005C2972">
        <w:rPr>
          <w:rFonts w:ascii="仿宋_GB2312" w:eastAsia="仿宋_GB2312" w:hAnsi="Times New Roman" w:cs="Times New Roman"/>
          <w:kern w:val="0"/>
          <w:sz w:val="32"/>
          <w:szCs w:val="32"/>
        </w:rPr>
        <w:t>程序期间所占用的时间；</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（五）质量管理体系核查所占用的时间。</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第九十九条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本办法规定的时限以工作日计算。</w:t>
      </w:r>
    </w:p>
    <w:p w:rsidR="005C2972" w:rsidRPr="005C2972" w:rsidRDefault="005C2972" w:rsidP="005C2972">
      <w:pPr>
        <w:widowControl/>
        <w:spacing w:line="560" w:lineRule="atLeast"/>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第八章　监督管理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药品监督管理部门应当加强对医疗器械研制活动的监督检查，必要时可以对为医疗器械研制提供产品或</w:t>
      </w:r>
      <w:r w:rsidRPr="005C2972">
        <w:rPr>
          <w:rFonts w:ascii="仿宋_GB2312" w:eastAsia="仿宋_GB2312" w:hAnsi="Times New Roman" w:cs="Times New Roman"/>
          <w:kern w:val="0"/>
          <w:sz w:val="32"/>
          <w:szCs w:val="32"/>
        </w:rPr>
        <w:lastRenderedPageBreak/>
        <w:t>者服务的单位和个人进行延伸检查，有关单位和个人应当予以配合，提供相关文件和资料，不得拒绝、隐瞒、阻挠。</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国家药品监督管理局建立并分步实施医疗器械唯一标识制度，申请人、备案人应当按照相关规定提交唯一标识相关信息，保证数据真实、准确、可溯源。</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国家药品监督管理局应当及时将代理人信息通报代理人所在地省、自治区、直辖市药品监督管理部门。省、自治区、直辖市药品监督管理部门对本行政区域内的代理人组织开展日常监督管理。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省、自治区、直辖市药品监督管理部门根据医疗器械临床试验机构备案情况，组织对本行政区域内已经备案的临床试验机构开展备案后监督检查。对于新备案的医疗器械临床试验机构，应当在备案后</w:t>
      </w:r>
      <w:r w:rsidRPr="005C2972">
        <w:rPr>
          <w:rFonts w:ascii="Times New Roman" w:eastAsia="宋体" w:hAnsi="Times New Roman" w:cs="Times New Roman"/>
          <w:kern w:val="0"/>
          <w:sz w:val="32"/>
          <w:szCs w:val="32"/>
        </w:rPr>
        <w:t>60</w:t>
      </w:r>
      <w:r w:rsidRPr="005C2972">
        <w:rPr>
          <w:rFonts w:ascii="仿宋_GB2312" w:eastAsia="仿宋_GB2312" w:hAnsi="Times New Roman" w:cs="Times New Roman"/>
          <w:kern w:val="0"/>
          <w:sz w:val="32"/>
          <w:szCs w:val="32"/>
        </w:rPr>
        <w:t>日内开展监督检查。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省、自治区、直辖市药品监督管理部门应当组织对本行政区域内医疗器械临床试验机构遵守医疗器械临床试验质量管理规范的情况进行日常监督检查，监督其持续符合规定要求。国家药品监督管理局根据需要对医疗器械临床试验机构进行监督检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药品监督管理部门认为有必要的，可以对临床试验的真实性、准确性、完整性、规范性和</w:t>
      </w:r>
      <w:proofErr w:type="gramStart"/>
      <w:r w:rsidRPr="005C2972">
        <w:rPr>
          <w:rFonts w:ascii="仿宋_GB2312" w:eastAsia="仿宋_GB2312" w:hAnsi="Times New Roman" w:cs="Times New Roman"/>
          <w:kern w:val="0"/>
          <w:sz w:val="32"/>
          <w:szCs w:val="32"/>
        </w:rPr>
        <w:t>可</w:t>
      </w:r>
      <w:proofErr w:type="gramEnd"/>
      <w:r w:rsidRPr="005C2972">
        <w:rPr>
          <w:rFonts w:ascii="仿宋_GB2312" w:eastAsia="仿宋_GB2312" w:hAnsi="Times New Roman" w:cs="Times New Roman"/>
          <w:kern w:val="0"/>
          <w:sz w:val="32"/>
          <w:szCs w:val="32"/>
        </w:rPr>
        <w:t>追溯性进行现场检查。</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第一百零五条</w:t>
      </w:r>
      <w:r w:rsidRPr="005C2972">
        <w:rPr>
          <w:rFonts w:ascii="Times New Roman" w:eastAsia="宋体" w:hAnsi="Times New Roman" w:cs="Times New Roman"/>
          <w:kern w:val="0"/>
          <w:sz w:val="32"/>
          <w:szCs w:val="32"/>
        </w:rPr>
        <w:t>  </w:t>
      </w:r>
      <w:proofErr w:type="gramStart"/>
      <w:r w:rsidRPr="005C2972">
        <w:rPr>
          <w:rFonts w:ascii="仿宋_GB2312" w:eastAsia="仿宋_GB2312" w:hAnsi="Times New Roman" w:cs="Times New Roman"/>
          <w:kern w:val="0"/>
          <w:sz w:val="32"/>
          <w:szCs w:val="32"/>
        </w:rPr>
        <w:t>承担第</w:t>
      </w:r>
      <w:proofErr w:type="gramEnd"/>
      <w:r w:rsidRPr="005C2972">
        <w:rPr>
          <w:rFonts w:ascii="仿宋_GB2312" w:eastAsia="仿宋_GB2312" w:hAnsi="Times New Roman" w:cs="Times New Roman"/>
          <w:kern w:val="0"/>
          <w:sz w:val="32"/>
          <w:szCs w:val="32"/>
        </w:rPr>
        <w:t>一类医疗器械产品备案工作的药品监督管理部门在备案后监督中，发现备案资料不规范的，应当责令备案人限期改正</w:t>
      </w:r>
      <w:r w:rsidRPr="005C2972">
        <w:rPr>
          <w:rFonts w:ascii="宋体" w:eastAsia="宋体" w:hAnsi="宋体" w:cs="Times New Roman"/>
          <w:kern w:val="0"/>
          <w:szCs w:val="21"/>
        </w:rPr>
        <w:t>。</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未及时发现本行政区域内医疗器械注册管理系统性、区域性风险，或者未及时消除本行政区域内医疗器械注册管理系统性、区域性隐患的，上级药品监督管理部门可以对下级药品监督管理部门主要负责人进行约谈</w:t>
      </w:r>
      <w:r w:rsidRPr="005C2972">
        <w:rPr>
          <w:rFonts w:ascii="黑体" w:eastAsia="黑体" w:hAnsi="黑体" w:cs="Times New Roman"/>
          <w:kern w:val="0"/>
          <w:sz w:val="32"/>
          <w:szCs w:val="32"/>
        </w:rPr>
        <w:t>。</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第九章　法律责任</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违反本办法第七十九条的规定，未按照要求对发生变化进行备案的，责令限期改正；逾期不改正的，处</w:t>
      </w:r>
      <w:r w:rsidRPr="005C2972">
        <w:rPr>
          <w:rFonts w:ascii="Times New Roman" w:eastAsia="宋体" w:hAnsi="Times New Roman" w:cs="Times New Roman"/>
          <w:kern w:val="0"/>
          <w:sz w:val="32"/>
          <w:szCs w:val="32"/>
        </w:rPr>
        <w:t>1</w:t>
      </w:r>
      <w:r w:rsidRPr="005C2972">
        <w:rPr>
          <w:rFonts w:ascii="仿宋_GB2312" w:eastAsia="仿宋_GB2312" w:hAnsi="Times New Roman" w:cs="Times New Roman"/>
          <w:kern w:val="0"/>
          <w:sz w:val="32"/>
          <w:szCs w:val="32"/>
        </w:rPr>
        <w:t>万元以上</w:t>
      </w:r>
      <w:r w:rsidRPr="005C2972">
        <w:rPr>
          <w:rFonts w:ascii="Times New Roman" w:eastAsia="宋体" w:hAnsi="Times New Roman" w:cs="Times New Roman"/>
          <w:kern w:val="0"/>
          <w:sz w:val="32"/>
          <w:szCs w:val="32"/>
        </w:rPr>
        <w:t>3</w:t>
      </w:r>
      <w:r w:rsidRPr="005C2972">
        <w:rPr>
          <w:rFonts w:ascii="仿宋_GB2312" w:eastAsia="仿宋_GB2312" w:hAnsi="Times New Roman" w:cs="Times New Roman"/>
          <w:kern w:val="0"/>
          <w:sz w:val="32"/>
          <w:szCs w:val="32"/>
        </w:rPr>
        <w:t>万元以下罚款。</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开展医疗器械临床试验未遵守临床试验质量管理规范的，依照《医疗器械监督管理条例》第九十四条予以处罚。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第一百零九条</w:t>
      </w:r>
      <w:r w:rsidRPr="005C2972">
        <w:rPr>
          <w:rFonts w:ascii="仿宋_GB2312" w:eastAsia="仿宋_GB2312" w:hAnsi="Times New Roman" w:cs="Times New Roman"/>
          <w:kern w:val="0"/>
          <w:sz w:val="32"/>
          <w:szCs w:val="32"/>
        </w:rPr>
        <w:t xml:space="preserve">　医疗器械技术审评机构未依照本办法规定履行职责，致使审评工作出现重大失误的，由负责药品监督管理的部门责令改正，通报批评，给予警告；造成严重后果的，对违法单位的法定代表人、主要负责人、直接负责的主管人员和其他责任人员，依法给予处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lastRenderedPageBreak/>
        <w:t>第一百一十条</w:t>
      </w:r>
      <w:r w:rsidRPr="005C2972">
        <w:rPr>
          <w:rFonts w:ascii="仿宋_GB2312" w:eastAsia="仿宋_GB2312" w:hAnsi="Times New Roman" w:cs="Times New Roman"/>
          <w:kern w:val="0"/>
          <w:sz w:val="32"/>
          <w:szCs w:val="32"/>
        </w:rPr>
        <w:t xml:space="preserve">　负责药品监督管理的部门工作人员违反规定，滥用职权、玩忽职守、徇私舞弊的，依法给予处分。</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 </w:t>
      </w:r>
    </w:p>
    <w:p w:rsidR="005C2972" w:rsidRPr="005C2972" w:rsidRDefault="005C2972" w:rsidP="005C2972">
      <w:pPr>
        <w:widowControl/>
        <w:spacing w:line="560" w:lineRule="atLeast"/>
        <w:jc w:val="center"/>
        <w:rPr>
          <w:rFonts w:ascii="Calibri" w:eastAsia="宋体" w:hAnsi="Calibri" w:cs="Calibri"/>
          <w:kern w:val="0"/>
          <w:szCs w:val="21"/>
        </w:rPr>
      </w:pPr>
      <w:r w:rsidRPr="005C2972">
        <w:rPr>
          <w:rFonts w:ascii="方正小标宋_GBK" w:eastAsia="方正小标宋_GBK" w:hAnsi="Times New Roman" w:cs="Times New Roman"/>
          <w:kern w:val="0"/>
          <w:sz w:val="32"/>
          <w:szCs w:val="32"/>
        </w:rPr>
        <w:t>第十章　附　则</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医疗器械注册或者备案单元原则上以产品的技术原理、结构组成、性能指标和适用范围为划分依据。</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获准注册的医疗器械，是指与该医疗器械注册证及附件限定内容一致且在医疗器械注册证有效期内生产的医疗器械。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医疗器械注册证中</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结构及组成</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栏内所载明的组合部件，以更换耗材、售后服务、维修等为目的，用于原注册产品的，可以单独销售。</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第一百一十四条</w:t>
      </w:r>
      <w:r w:rsidRPr="005C2972">
        <w:rPr>
          <w:rFonts w:ascii="Times New Roman" w:eastAsia="宋体" w:hAnsi="Times New Roman" w:cs="Times New Roman"/>
          <w:kern w:val="0"/>
          <w:sz w:val="32"/>
          <w:szCs w:val="32"/>
        </w:rPr>
        <w:t xml:space="preserve">  </w:t>
      </w:r>
      <w:r w:rsidRPr="005C2972">
        <w:rPr>
          <w:rFonts w:ascii="仿宋_GB2312" w:eastAsia="仿宋_GB2312" w:hAnsi="Times New Roman" w:cs="Times New Roman"/>
          <w:kern w:val="0"/>
          <w:sz w:val="32"/>
          <w:szCs w:val="32"/>
        </w:rPr>
        <w:t>申请人在申请医疗器械产品注册、变更注册、临床试验审批中可以经医疗器械主文档所有者授权，引用经登记的医疗器械主文档。医疗器械主文档登记相关工作程序另行规定。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第一百一十五条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医疗器械注册证格式由国家药品监督管理局统一制定。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注册证编号的编排方式为：</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×1</w:t>
      </w:r>
      <w:proofErr w:type="gramStart"/>
      <w:r w:rsidRPr="005C2972">
        <w:rPr>
          <w:rFonts w:ascii="仿宋_GB2312" w:eastAsia="仿宋_GB2312" w:hAnsi="Times New Roman" w:cs="Times New Roman"/>
          <w:kern w:val="0"/>
          <w:sz w:val="32"/>
          <w:szCs w:val="32"/>
        </w:rPr>
        <w:t>械注</w:t>
      </w:r>
      <w:proofErr w:type="gramEnd"/>
      <w:r w:rsidRPr="005C2972">
        <w:rPr>
          <w:rFonts w:ascii="Times New Roman" w:eastAsia="宋体" w:hAnsi="Times New Roman" w:cs="Times New Roman"/>
          <w:kern w:val="0"/>
          <w:sz w:val="32"/>
          <w:szCs w:val="32"/>
        </w:rPr>
        <w:t>×2××××3×4××5××××6</w:t>
      </w:r>
      <w:r w:rsidRPr="005C2972">
        <w:rPr>
          <w:rFonts w:ascii="仿宋_GB2312" w:eastAsia="仿宋_GB2312" w:hAnsi="Times New Roman" w:cs="Times New Roman"/>
          <w:kern w:val="0"/>
          <w:sz w:val="32"/>
          <w:szCs w:val="32"/>
        </w:rPr>
        <w:t>。其中：</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×1</w:t>
      </w:r>
      <w:r w:rsidRPr="005C2972">
        <w:rPr>
          <w:rFonts w:ascii="仿宋_GB2312" w:eastAsia="仿宋_GB2312" w:hAnsi="Times New Roman" w:cs="Times New Roman"/>
          <w:kern w:val="0"/>
          <w:sz w:val="32"/>
          <w:szCs w:val="32"/>
        </w:rPr>
        <w:t>为注册审批部门所在地的简称：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lastRenderedPageBreak/>
        <w:t>境内第三类医疗器械、进口第二类、第三类医疗器械为</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国</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字；</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境内第二类医疗器械为注册审批部门所在地省、自治区、直辖市简称；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×2</w:t>
      </w:r>
      <w:r w:rsidRPr="005C2972">
        <w:rPr>
          <w:rFonts w:ascii="仿宋_GB2312" w:eastAsia="仿宋_GB2312" w:hAnsi="Times New Roman" w:cs="Times New Roman"/>
          <w:kern w:val="0"/>
          <w:sz w:val="32"/>
          <w:szCs w:val="32"/>
        </w:rPr>
        <w:t>为注册形式：</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准</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字适用于境内医疗器械；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进</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字适用于进口医疗器械；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许</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字适用于香港、澳门、台湾地区的医疗器械；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××××3</w:t>
      </w:r>
      <w:r w:rsidRPr="005C2972">
        <w:rPr>
          <w:rFonts w:ascii="仿宋_GB2312" w:eastAsia="仿宋_GB2312" w:hAnsi="Times New Roman" w:cs="Times New Roman"/>
          <w:kern w:val="0"/>
          <w:sz w:val="32"/>
          <w:szCs w:val="32"/>
        </w:rPr>
        <w:t>为首次注册年份；</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×4</w:t>
      </w:r>
      <w:r w:rsidRPr="005C2972">
        <w:rPr>
          <w:rFonts w:ascii="仿宋_GB2312" w:eastAsia="仿宋_GB2312" w:hAnsi="Times New Roman" w:cs="Times New Roman"/>
          <w:kern w:val="0"/>
          <w:sz w:val="32"/>
          <w:szCs w:val="32"/>
        </w:rPr>
        <w:t>为产品管理类别；</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××5</w:t>
      </w:r>
      <w:r w:rsidRPr="005C2972">
        <w:rPr>
          <w:rFonts w:ascii="仿宋_GB2312" w:eastAsia="仿宋_GB2312" w:hAnsi="Times New Roman" w:cs="Times New Roman"/>
          <w:kern w:val="0"/>
          <w:sz w:val="32"/>
          <w:szCs w:val="32"/>
        </w:rPr>
        <w:t>为产品分类编码；</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××××6</w:t>
      </w:r>
      <w:r w:rsidRPr="005C2972">
        <w:rPr>
          <w:rFonts w:ascii="仿宋_GB2312" w:eastAsia="仿宋_GB2312" w:hAnsi="Times New Roman" w:cs="Times New Roman"/>
          <w:kern w:val="0"/>
          <w:sz w:val="32"/>
          <w:szCs w:val="32"/>
        </w:rPr>
        <w:t>为首次注册流水号。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延续注册的，</w:t>
      </w:r>
      <w:r w:rsidRPr="005C2972">
        <w:rPr>
          <w:rFonts w:ascii="Times New Roman" w:eastAsia="宋体" w:hAnsi="Times New Roman" w:cs="Times New Roman"/>
          <w:kern w:val="0"/>
          <w:sz w:val="32"/>
          <w:szCs w:val="32"/>
        </w:rPr>
        <w:t>××××3</w:t>
      </w:r>
      <w:r w:rsidRPr="005C2972">
        <w:rPr>
          <w:rFonts w:ascii="仿宋_GB2312" w:eastAsia="仿宋_GB2312" w:hAnsi="Times New Roman" w:cs="Times New Roman"/>
          <w:kern w:val="0"/>
          <w:sz w:val="32"/>
          <w:szCs w:val="32"/>
        </w:rPr>
        <w:t>和</w:t>
      </w:r>
      <w:r w:rsidRPr="005C2972">
        <w:rPr>
          <w:rFonts w:ascii="Times New Roman" w:eastAsia="宋体" w:hAnsi="Times New Roman" w:cs="Times New Roman"/>
          <w:kern w:val="0"/>
          <w:sz w:val="32"/>
          <w:szCs w:val="32"/>
        </w:rPr>
        <w:t>××××6</w:t>
      </w:r>
      <w:r w:rsidRPr="005C2972">
        <w:rPr>
          <w:rFonts w:ascii="仿宋_GB2312" w:eastAsia="仿宋_GB2312" w:hAnsi="Times New Roman" w:cs="Times New Roman"/>
          <w:kern w:val="0"/>
          <w:sz w:val="32"/>
          <w:szCs w:val="32"/>
        </w:rPr>
        <w:t>数字不变。产品管理类别调整的，应当重新编号。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第一百一十六条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第一类医疗器械备案编号的编排方式为：</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×1</w:t>
      </w:r>
      <w:proofErr w:type="gramStart"/>
      <w:r w:rsidRPr="005C2972">
        <w:rPr>
          <w:rFonts w:ascii="仿宋_GB2312" w:eastAsia="仿宋_GB2312" w:hAnsi="Times New Roman" w:cs="Times New Roman"/>
          <w:kern w:val="0"/>
          <w:sz w:val="32"/>
          <w:szCs w:val="32"/>
        </w:rPr>
        <w:t>械备</w:t>
      </w:r>
      <w:proofErr w:type="gramEnd"/>
      <w:r w:rsidRPr="005C2972">
        <w:rPr>
          <w:rFonts w:ascii="Times New Roman" w:eastAsia="宋体" w:hAnsi="Times New Roman" w:cs="Times New Roman"/>
          <w:kern w:val="0"/>
          <w:sz w:val="32"/>
          <w:szCs w:val="32"/>
        </w:rPr>
        <w:t>××××2××××3</w:t>
      </w:r>
      <w:r w:rsidRPr="005C2972">
        <w:rPr>
          <w:rFonts w:ascii="仿宋_GB2312" w:eastAsia="仿宋_GB2312" w:hAnsi="Times New Roman" w:cs="Times New Roman"/>
          <w:kern w:val="0"/>
          <w:sz w:val="32"/>
          <w:szCs w:val="32"/>
        </w:rPr>
        <w:t>。其中：</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×1</w:t>
      </w:r>
      <w:r w:rsidRPr="005C2972">
        <w:rPr>
          <w:rFonts w:ascii="仿宋_GB2312" w:eastAsia="仿宋_GB2312" w:hAnsi="Times New Roman" w:cs="Times New Roman"/>
          <w:kern w:val="0"/>
          <w:sz w:val="32"/>
          <w:szCs w:val="32"/>
        </w:rPr>
        <w:t>为备案部门所在地的简称：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进口第一类医疗器械为</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国</w:t>
      </w:r>
      <w:r w:rsidRPr="005C2972">
        <w:rPr>
          <w:rFonts w:ascii="Times New Roman" w:eastAsia="宋体" w:hAnsi="Times New Roman" w:cs="Times New Roman"/>
          <w:kern w:val="0"/>
          <w:sz w:val="32"/>
          <w:szCs w:val="32"/>
        </w:rPr>
        <w:t>”</w:t>
      </w:r>
      <w:r w:rsidRPr="005C2972">
        <w:rPr>
          <w:rFonts w:ascii="仿宋_GB2312" w:eastAsia="仿宋_GB2312" w:hAnsi="Times New Roman" w:cs="Times New Roman"/>
          <w:kern w:val="0"/>
          <w:sz w:val="32"/>
          <w:szCs w:val="32"/>
        </w:rPr>
        <w:t>字；</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境内第一类医疗器械为备案部门所在地省、自治区、直辖市简称加所在地设区的市级行政区域的简称（无相应设区的市级行政区域时，仅为省、自治区、直辖市的简称）；</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lastRenderedPageBreak/>
        <w:t>××××2</w:t>
      </w:r>
      <w:r w:rsidRPr="005C2972">
        <w:rPr>
          <w:rFonts w:ascii="仿宋_GB2312" w:eastAsia="仿宋_GB2312" w:hAnsi="Times New Roman" w:cs="Times New Roman"/>
          <w:kern w:val="0"/>
          <w:sz w:val="32"/>
          <w:szCs w:val="32"/>
        </w:rPr>
        <w:t>为备案年份；</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Times New Roman" w:eastAsia="宋体" w:hAnsi="Times New Roman" w:cs="Times New Roman"/>
          <w:kern w:val="0"/>
          <w:sz w:val="32"/>
          <w:szCs w:val="32"/>
        </w:rPr>
        <w:t>××××3</w:t>
      </w:r>
      <w:r w:rsidRPr="005C2972">
        <w:rPr>
          <w:rFonts w:ascii="仿宋_GB2312" w:eastAsia="仿宋_GB2312" w:hAnsi="Times New Roman" w:cs="Times New Roman"/>
          <w:kern w:val="0"/>
          <w:sz w:val="32"/>
          <w:szCs w:val="32"/>
        </w:rPr>
        <w:t>为备案流水号。</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第一百一十七条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药品监督管理部门制作的医疗器械注册证、变更注册文件电子文件与纸质文件具有同等法律效力。</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第一百一十八条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根据工作需要，国家药品监督管理局可以依法委托省、自治区、直辖市药品监督管理部门或者技术机构、社会组织承担有关的具体工作。</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第一百一十九条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省、自治区、直辖市药品监督管理部门可以参照本办法第四章规定制定本行政区域内第二类医疗器械特殊注册程序，并报国家药品监督管理局备案。</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第一百二十条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医疗器械产品注册收费项目、收费标准按照国务院财政、价格主管部门的有关规定执行。</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第一百二十一条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按照医疗器械管理的体外诊断试剂的注册与备案，适用《体外诊断试剂注册与备案管理办法》。</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第一百二十二条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定制式医疗器械监督管理的有关规定，由国家药品监督管理局另行制定。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药械组合产品注册管理的有关规定，由国家药品监督管理局另行制定。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仿宋_GB2312" w:eastAsia="仿宋_GB2312" w:hAnsi="Times New Roman" w:cs="Times New Roman"/>
          <w:kern w:val="0"/>
          <w:sz w:val="32"/>
          <w:szCs w:val="32"/>
        </w:rPr>
        <w:t>医疗器械紧急使用的有关规定，由国家药品监督管理局会同有关部门另行制定。</w:t>
      </w:r>
    </w:p>
    <w:p w:rsidR="005C2972" w:rsidRPr="005C2972" w:rsidRDefault="005C2972" w:rsidP="005C2972">
      <w:pPr>
        <w:widowControl/>
        <w:spacing w:line="560" w:lineRule="atLeast"/>
        <w:ind w:firstLine="640"/>
        <w:rPr>
          <w:rFonts w:ascii="Calibri" w:eastAsia="宋体" w:hAnsi="Calibri" w:cs="Calibri"/>
          <w:kern w:val="0"/>
          <w:szCs w:val="21"/>
        </w:rPr>
      </w:pPr>
      <w:r w:rsidRPr="005C2972">
        <w:rPr>
          <w:rFonts w:ascii="黑体" w:eastAsia="黑体" w:hAnsi="黑体" w:cs="Times New Roman"/>
          <w:kern w:val="0"/>
          <w:sz w:val="32"/>
          <w:szCs w:val="32"/>
        </w:rPr>
        <w:t>第一百二十三条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香港、澳门、台湾地区医疗器械的注册、备案，参照进口医疗器械办理。</w:t>
      </w:r>
    </w:p>
    <w:p w:rsidR="005C2972" w:rsidRPr="005C2972" w:rsidRDefault="005C2972" w:rsidP="005C2972">
      <w:pPr>
        <w:widowControl/>
        <w:spacing w:before="100" w:beforeAutospacing="1" w:after="100" w:afterAutospacing="1" w:line="560" w:lineRule="atLeast"/>
        <w:ind w:firstLine="640"/>
        <w:jc w:val="left"/>
        <w:rPr>
          <w:rFonts w:ascii="宋体" w:eastAsia="宋体" w:hAnsi="宋体" w:cs="宋体"/>
          <w:kern w:val="0"/>
          <w:sz w:val="27"/>
          <w:szCs w:val="27"/>
        </w:rPr>
      </w:pPr>
      <w:r w:rsidRPr="005C2972">
        <w:rPr>
          <w:rFonts w:ascii="黑体" w:eastAsia="黑体" w:hAnsi="黑体" w:cs="Times New Roman"/>
          <w:kern w:val="0"/>
          <w:sz w:val="32"/>
          <w:szCs w:val="32"/>
        </w:rPr>
        <w:lastRenderedPageBreak/>
        <w:t>第一百二十四条</w:t>
      </w:r>
      <w:r w:rsidRPr="005C2972">
        <w:rPr>
          <w:rFonts w:ascii="Times New Roman" w:eastAsia="宋体" w:hAnsi="Times New Roman" w:cs="Times New Roman"/>
          <w:kern w:val="0"/>
          <w:sz w:val="32"/>
          <w:szCs w:val="32"/>
        </w:rPr>
        <w:t>  </w:t>
      </w:r>
      <w:r w:rsidRPr="005C2972">
        <w:rPr>
          <w:rFonts w:ascii="仿宋_GB2312" w:eastAsia="仿宋_GB2312" w:hAnsi="Times New Roman" w:cs="Times New Roman"/>
          <w:kern w:val="0"/>
          <w:sz w:val="32"/>
          <w:szCs w:val="32"/>
        </w:rPr>
        <w:t>本办法自</w:t>
      </w:r>
      <w:r w:rsidRPr="005C2972">
        <w:rPr>
          <w:rFonts w:ascii="Times New Roman" w:eastAsia="宋体" w:hAnsi="Times New Roman" w:cs="Times New Roman"/>
          <w:kern w:val="0"/>
          <w:sz w:val="32"/>
          <w:szCs w:val="32"/>
        </w:rPr>
        <w:t>2021</w:t>
      </w:r>
      <w:r w:rsidRPr="005C2972">
        <w:rPr>
          <w:rFonts w:ascii="仿宋_GB2312" w:eastAsia="仿宋_GB2312" w:hAnsi="Times New Roman" w:cs="Times New Roman"/>
          <w:kern w:val="0"/>
          <w:sz w:val="32"/>
          <w:szCs w:val="32"/>
        </w:rPr>
        <w:t>年</w:t>
      </w:r>
      <w:r w:rsidRPr="005C2972">
        <w:rPr>
          <w:rFonts w:ascii="Times New Roman" w:eastAsia="宋体" w:hAnsi="Times New Roman" w:cs="Times New Roman"/>
          <w:kern w:val="0"/>
          <w:sz w:val="32"/>
          <w:szCs w:val="32"/>
        </w:rPr>
        <w:t>10</w:t>
      </w:r>
      <w:r w:rsidRPr="005C2972">
        <w:rPr>
          <w:rFonts w:ascii="仿宋_GB2312" w:eastAsia="仿宋_GB2312" w:hAnsi="Times New Roman" w:cs="Times New Roman"/>
          <w:kern w:val="0"/>
          <w:sz w:val="32"/>
          <w:szCs w:val="32"/>
        </w:rPr>
        <w:t>月</w:t>
      </w:r>
      <w:r w:rsidRPr="005C2972">
        <w:rPr>
          <w:rFonts w:ascii="Times New Roman" w:eastAsia="宋体" w:hAnsi="Times New Roman" w:cs="Times New Roman"/>
          <w:kern w:val="0"/>
          <w:sz w:val="32"/>
          <w:szCs w:val="32"/>
        </w:rPr>
        <w:t>1</w:t>
      </w:r>
      <w:r w:rsidRPr="005C2972">
        <w:rPr>
          <w:rFonts w:ascii="仿宋_GB2312" w:eastAsia="仿宋_GB2312" w:hAnsi="Times New Roman" w:cs="Times New Roman"/>
          <w:kern w:val="0"/>
          <w:sz w:val="32"/>
          <w:szCs w:val="32"/>
        </w:rPr>
        <w:t>日起施行。</w:t>
      </w:r>
      <w:r w:rsidRPr="005C2972">
        <w:rPr>
          <w:rFonts w:ascii="Times New Roman" w:eastAsia="宋体" w:hAnsi="Times New Roman" w:cs="Times New Roman"/>
          <w:kern w:val="0"/>
          <w:sz w:val="32"/>
          <w:szCs w:val="32"/>
        </w:rPr>
        <w:t>2014</w:t>
      </w:r>
      <w:r w:rsidRPr="005C2972">
        <w:rPr>
          <w:rFonts w:ascii="仿宋_GB2312" w:eastAsia="仿宋_GB2312" w:hAnsi="Times New Roman" w:cs="Times New Roman"/>
          <w:kern w:val="0"/>
          <w:sz w:val="32"/>
          <w:szCs w:val="32"/>
        </w:rPr>
        <w:t>年</w:t>
      </w:r>
      <w:r w:rsidRPr="005C2972">
        <w:rPr>
          <w:rFonts w:ascii="Times New Roman" w:eastAsia="宋体" w:hAnsi="Times New Roman" w:cs="Times New Roman"/>
          <w:kern w:val="0"/>
          <w:sz w:val="32"/>
          <w:szCs w:val="32"/>
        </w:rPr>
        <w:t>7</w:t>
      </w:r>
      <w:r w:rsidRPr="005C2972">
        <w:rPr>
          <w:rFonts w:ascii="仿宋_GB2312" w:eastAsia="仿宋_GB2312" w:hAnsi="Times New Roman" w:cs="Times New Roman"/>
          <w:kern w:val="0"/>
          <w:sz w:val="32"/>
          <w:szCs w:val="32"/>
        </w:rPr>
        <w:t>月</w:t>
      </w:r>
      <w:r w:rsidRPr="005C2972">
        <w:rPr>
          <w:rFonts w:ascii="Times New Roman" w:eastAsia="宋体" w:hAnsi="Times New Roman" w:cs="Times New Roman"/>
          <w:kern w:val="0"/>
          <w:sz w:val="32"/>
          <w:szCs w:val="32"/>
        </w:rPr>
        <w:t>30</w:t>
      </w:r>
      <w:r w:rsidRPr="005C2972">
        <w:rPr>
          <w:rFonts w:ascii="仿宋_GB2312" w:eastAsia="仿宋_GB2312" w:hAnsi="Times New Roman" w:cs="Times New Roman"/>
          <w:kern w:val="0"/>
          <w:sz w:val="32"/>
          <w:szCs w:val="32"/>
        </w:rPr>
        <w:t>日原国家食品药品监督管理总局令第</w:t>
      </w:r>
      <w:r w:rsidRPr="005C2972">
        <w:rPr>
          <w:rFonts w:ascii="Times New Roman" w:eastAsia="宋体" w:hAnsi="Times New Roman" w:cs="Times New Roman"/>
          <w:kern w:val="0"/>
          <w:sz w:val="32"/>
          <w:szCs w:val="32"/>
        </w:rPr>
        <w:t>4</w:t>
      </w:r>
      <w:r w:rsidRPr="005C2972">
        <w:rPr>
          <w:rFonts w:ascii="仿宋_GB2312" w:eastAsia="仿宋_GB2312" w:hAnsi="Times New Roman" w:cs="Times New Roman"/>
          <w:kern w:val="0"/>
          <w:sz w:val="32"/>
          <w:szCs w:val="32"/>
        </w:rPr>
        <w:t>号公布的《医疗器械注册管理办法》同时废止。</w:t>
      </w:r>
    </w:p>
    <w:p w:rsidR="009F44B8" w:rsidRPr="005C2972" w:rsidRDefault="009F44B8">
      <w:bookmarkStart w:id="0" w:name="_GoBack"/>
      <w:bookmarkEnd w:id="0"/>
    </w:p>
    <w:sectPr w:rsidR="009F44B8" w:rsidRPr="005C2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F2"/>
    <w:rsid w:val="001D2AF2"/>
    <w:rsid w:val="005C2972"/>
    <w:rsid w:val="009F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5C2972"/>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5C297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5C2972"/>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5C29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9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2300</Words>
  <Characters>13116</Characters>
  <Application>Microsoft Office Word</Application>
  <DocSecurity>0</DocSecurity>
  <Lines>109</Lines>
  <Paragraphs>30</Paragraphs>
  <ScaleCrop>false</ScaleCrop>
  <Company>SysCeo.com</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2021-09-07T01:52:00Z</dcterms:created>
  <dcterms:modified xsi:type="dcterms:W3CDTF">2021-09-07T01:53:00Z</dcterms:modified>
</cp:coreProperties>
</file>