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马尾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86066万元，收回限额11549万元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楷体" w:eastAsia="仿宋" w:cs="仿宋"/>
          <w:b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年底，全区政府债务余额预计执行数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924221.33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1203516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元内；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10.94亿</w:t>
      </w:r>
      <w:r>
        <w:rPr>
          <w:rFonts w:hint="eastAsia" w:ascii="仿宋" w:hAnsi="仿宋" w:eastAsia="仿宋" w:cs="仿宋"/>
          <w:spacing w:val="-6"/>
        </w:rPr>
        <w:t>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8.59亿</w:t>
      </w:r>
      <w:r>
        <w:rPr>
          <w:rFonts w:hint="eastAsia" w:ascii="仿宋" w:hAnsi="仿宋" w:eastAsia="仿宋" w:cs="仿宋"/>
          <w:spacing w:val="-6"/>
        </w:rPr>
        <w:t>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2.35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8.72</w:t>
      </w:r>
      <w:r>
        <w:rPr>
          <w:rFonts w:hint="eastAsia" w:ascii="仿宋" w:hAnsi="仿宋" w:eastAsia="仿宋" w:cs="仿宋"/>
          <w:spacing w:val="-6"/>
        </w:rPr>
        <w:t>亿元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年省财政下达全区新增债务限额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元，安排港口路下穿及市政基础设施配套工程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14947</w:t>
      </w:r>
      <w:r>
        <w:rPr>
          <w:rFonts w:hint="eastAsia" w:ascii="仿宋" w:hAnsi="仿宋" w:eastAsia="仿宋" w:cs="仿宋"/>
          <w:spacing w:val="-6"/>
        </w:rPr>
        <w:t>万元、船政文化城（一期）</w:t>
      </w:r>
      <w:r>
        <w:rPr>
          <w:rFonts w:hint="eastAsia" w:ascii="仿宋" w:hAnsi="仿宋" w:eastAsia="仿宋" w:cs="仿宋"/>
          <w:spacing w:val="-6"/>
          <w:lang w:val="en-US" w:eastAsia="zh-CN"/>
        </w:rPr>
        <w:t>24000</w:t>
      </w:r>
      <w:r>
        <w:rPr>
          <w:rFonts w:hint="eastAsia" w:ascii="仿宋" w:hAnsi="仿宋" w:eastAsia="仿宋" w:cs="仿宋"/>
          <w:spacing w:val="-6"/>
        </w:rPr>
        <w:t>万元、福州经济技术开发区高新工业园区道路基础设施工程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25000</w:t>
      </w:r>
      <w:r>
        <w:rPr>
          <w:rFonts w:hint="eastAsia" w:ascii="仿宋" w:hAnsi="仿宋" w:eastAsia="仿宋" w:cs="仿宋"/>
          <w:spacing w:val="-6"/>
        </w:rPr>
        <w:t>万元、亭江两高以北工业园基础配套设施工程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13000</w:t>
      </w:r>
      <w:r>
        <w:rPr>
          <w:rFonts w:hint="eastAsia" w:ascii="仿宋" w:hAnsi="仿宋" w:eastAsia="仿宋" w:cs="仿宋"/>
          <w:spacing w:val="-6"/>
        </w:rPr>
        <w:t>万元、福州经济技术开发区长安工业园区基础设施工程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9000</w:t>
      </w:r>
      <w:r>
        <w:rPr>
          <w:rFonts w:hint="eastAsia" w:ascii="仿宋" w:hAnsi="仿宋" w:eastAsia="仿宋" w:cs="仿宋"/>
          <w:spacing w:val="-6"/>
        </w:rPr>
        <w:t>万元</w:t>
      </w:r>
      <w:r>
        <w:rPr>
          <w:rFonts w:hint="eastAsia" w:ascii="仿宋" w:hAnsi="仿宋" w:eastAsia="仿宋" w:cs="仿宋"/>
          <w:spacing w:val="-6"/>
          <w:lang w:eastAsia="zh-CN"/>
        </w:rPr>
        <w:t>，政府外债</w:t>
      </w:r>
      <w:r>
        <w:rPr>
          <w:rFonts w:hint="eastAsia" w:ascii="仿宋" w:hAnsi="仿宋" w:eastAsia="仿宋" w:cs="仿宋"/>
          <w:spacing w:val="-6"/>
          <w:lang w:val="en-US" w:eastAsia="zh-CN"/>
        </w:rPr>
        <w:t>86066万元。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2DB60C4F"/>
    <w:rsid w:val="3F0C2D27"/>
    <w:rsid w:val="4D8A0860"/>
    <w:rsid w:val="5FA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r-core-btn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14</TotalTime>
  <ScaleCrop>false</ScaleCrop>
  <LinksUpToDate>false</LinksUpToDate>
  <CharactersWithSpaces>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2021-06-08T08:40:20Z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0FF2619B2EA44ECDAA45404BE603E39F</vt:lpwstr>
  </property>
</Properties>
</file>