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FF398" w14:textId="77777777" w:rsidR="00A420D0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福州经济技术开发区市场监督管理局</w:t>
      </w:r>
    </w:p>
    <w:p w14:paraId="0FCD9673" w14:textId="77777777" w:rsidR="00A420D0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2023年度法治政府建设工作报告</w:t>
      </w:r>
    </w:p>
    <w:p w14:paraId="5E0484FC" w14:textId="77777777" w:rsidR="00A420D0" w:rsidRDefault="00A420D0">
      <w:pPr>
        <w:spacing w:line="560" w:lineRule="exact"/>
        <w:ind w:firstLineChars="200" w:firstLine="672"/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</w:pPr>
    </w:p>
    <w:p w14:paraId="166BF43D" w14:textId="77777777" w:rsidR="00A420D0" w:rsidRDefault="00000000">
      <w:pPr>
        <w:spacing w:line="560" w:lineRule="exact"/>
        <w:ind w:firstLineChars="200" w:firstLine="672"/>
        <w:rPr>
          <w:rFonts w:ascii="仿宋_GB2312" w:eastAsia="仿宋_GB2312" w:hAnsi="仿宋_GB2312" w:cs="仿宋_GB2312" w:hint="eastAsia"/>
          <w:color w:val="000000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2023年，福州经济技术开发区市场监督管理局</w:t>
      </w:r>
      <w:r>
        <w:rPr>
          <w:rFonts w:ascii="仿宋_GB2312" w:eastAsia="仿宋_GB2312" w:hAnsi="仿宋_GB2312" w:cs="仿宋_GB2312" w:hint="eastAsia"/>
          <w:color w:val="000000"/>
          <w:spacing w:val="8"/>
          <w:sz w:val="32"/>
          <w:szCs w:val="32"/>
          <w:shd w:val="clear" w:color="auto" w:fill="FFFFFF"/>
        </w:rPr>
        <w:t>深入贯彻落</w:t>
      </w:r>
      <w:proofErr w:type="gramStart"/>
      <w:r>
        <w:rPr>
          <w:rFonts w:ascii="仿宋_GB2312" w:eastAsia="仿宋_GB2312" w:hAnsi="仿宋_GB2312" w:cs="仿宋_GB2312" w:hint="eastAsia"/>
          <w:color w:val="000000"/>
          <w:spacing w:val="8"/>
          <w:sz w:val="32"/>
          <w:szCs w:val="32"/>
          <w:shd w:val="clear" w:color="auto" w:fill="FFFFFF"/>
        </w:rPr>
        <w:t>实习近</w:t>
      </w:r>
      <w:proofErr w:type="gramEnd"/>
      <w:r>
        <w:rPr>
          <w:rFonts w:ascii="仿宋_GB2312" w:eastAsia="仿宋_GB2312" w:hAnsi="仿宋_GB2312" w:cs="仿宋_GB2312" w:hint="eastAsia"/>
          <w:color w:val="000000"/>
          <w:spacing w:val="8"/>
          <w:sz w:val="32"/>
          <w:szCs w:val="32"/>
          <w:shd w:val="clear" w:color="auto" w:fill="FFFFFF"/>
        </w:rPr>
        <w:t>平法治思想，围绕法治政府建设和依法行政工作目标，推进《马尾区法治政府建设实施方案(2021-2025年)》落实，把法治政府建设同重要业务工作一同推进，做到同部署、同落实、同监督，持续深入推进依法行政，认真履行市场监管职责，现将2023年法治政府建设工作情况报告如下：</w:t>
      </w:r>
    </w:p>
    <w:p w14:paraId="6DE8B5A0" w14:textId="77777777" w:rsidR="00A420D0" w:rsidRDefault="00000000">
      <w:pPr>
        <w:spacing w:line="560" w:lineRule="exact"/>
        <w:ind w:firstLineChars="200" w:firstLine="674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pacing w:val="8"/>
          <w:sz w:val="32"/>
          <w:szCs w:val="32"/>
          <w:shd w:val="clear" w:color="auto" w:fill="FFFFFF"/>
        </w:rPr>
        <w:t>一、推进法治政府建设工作的主要举措和成效</w:t>
      </w:r>
    </w:p>
    <w:p w14:paraId="36E6D6CC" w14:textId="77777777" w:rsidR="00A420D0" w:rsidRDefault="00000000">
      <w:pPr>
        <w:spacing w:line="560" w:lineRule="exact"/>
        <w:ind w:firstLineChars="200" w:firstLine="643"/>
        <w:rPr>
          <w:rStyle w:val="a6"/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（一）坚持党的领导，深入学习贯彻习近平法治思想。</w:t>
      </w:r>
    </w:p>
    <w:p w14:paraId="3B20E193" w14:textId="77777777" w:rsidR="00A420D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局党组高度重视习近平法治思想的学习贯彻，坚持把深入学习、宣传、贯彻习近平法治思想纳入局党组中心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组重点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学习范畴，组织学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习习近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平总书记关于加强党内法规制度建设的重要指示精神和《中华人民共和国反有组织犯罪法》等内容，推动法治精神内化于心、外化于行。</w:t>
      </w:r>
    </w:p>
    <w:p w14:paraId="3B1D4E3D" w14:textId="77777777" w:rsidR="00A420D0" w:rsidRDefault="00000000">
      <w:pPr>
        <w:numPr>
          <w:ilvl w:val="0"/>
          <w:numId w:val="1"/>
        </w:numPr>
        <w:spacing w:line="560" w:lineRule="exact"/>
        <w:ind w:firstLineChars="200" w:firstLine="643"/>
        <w:rPr>
          <w:rStyle w:val="a6"/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严格贯彻落实，履行法治建设第一责任人职责。</w:t>
      </w:r>
    </w:p>
    <w:p w14:paraId="4F2B1E02" w14:textId="77777777" w:rsidR="00A420D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局党组书记、局长按照《党政主要负责人履行推进法治建设第一责任人职责规定》，切实履行推进法治建设第一责任人职责及法治政府建设重要组织者、推动者和实践者的职责，坚持把法治政府建设摆在市场监管工作的重要位置，坚持对全局法治建设重要工作亲自部署、重大问题亲自过问、重点环节亲自协调、重要任务亲自督办，统筹推进法治建设工作各项事务。同时，坚持重要法治工作集体决策、集体研究，带头深入学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习习近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平法治思想，组织学习相关法律法规规章，自觉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做尊法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、学法、守法、用法的模范，推动全局切实形成了主要领导负责抓，分管领导具体抓的法治建设工作格局。</w:t>
      </w:r>
    </w:p>
    <w:p w14:paraId="7E528423" w14:textId="77777777" w:rsidR="00A420D0" w:rsidRDefault="00000000">
      <w:pPr>
        <w:numPr>
          <w:ilvl w:val="0"/>
          <w:numId w:val="1"/>
        </w:numPr>
        <w:spacing w:line="560" w:lineRule="exact"/>
        <w:ind w:firstLineChars="200" w:firstLine="643"/>
        <w:rPr>
          <w:rStyle w:val="a6"/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加强风险防范，深入推进依法行政。</w:t>
      </w:r>
    </w:p>
    <w:p w14:paraId="42AEE912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一是严格依法依规决策，执行重大决策法定程序。</w:t>
      </w:r>
      <w:r>
        <w:rPr>
          <w:rFonts w:ascii="仿宋_GB2312" w:eastAsia="仿宋_GB2312" w:hAnsi="仿宋_GB2312" w:cs="仿宋_GB2312" w:hint="eastAsia"/>
          <w:sz w:val="32"/>
          <w:szCs w:val="32"/>
        </w:rPr>
        <w:t>根据职责法定、职权法定的原则，对于涉及本部门的重大发展规划、重大执法案件、重大建设项目严格做到事前充分征求相关科室和分管领导意见，经党组会议集体讨论，集体决策。项目建设、采购等均按要求按程序进行招投标，坚持杜绝暗箱操作,确保各环节科学、规范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二是深入推进政务公开，促进权力在阳光下运行。</w:t>
      </w:r>
      <w:r>
        <w:rPr>
          <w:rFonts w:ascii="仿宋_GB2312" w:eastAsia="仿宋_GB2312" w:hAnsi="仿宋_GB2312" w:cs="仿宋_GB2312" w:hint="eastAsia"/>
          <w:sz w:val="32"/>
          <w:szCs w:val="32"/>
        </w:rPr>
        <w:t>认真贯彻实施《政府信息公开条例》，进一步落实决策公开、执行公开、管理公开、服务公开、结果公开的“五公开”要求，立足于马尾区人民政府网站，对依法应当主动公开的信息，及时、准确、全面地向社会公开，2023年通过区政府网站主动发布行政执法、监督抽检、公共服务等领域信息107条。2023年共收到依申请公开2件，网络申请1件，信函申请1件，其中本年度办理2件，上述申请已按照规范程序进行受理，并在保证答复质量的前提下做出的全面的答复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三是落实法律顾问制度，全面深入推进依法行政。</w:t>
      </w:r>
      <w:r>
        <w:rPr>
          <w:rFonts w:ascii="仿宋_GB2312" w:eastAsia="仿宋_GB2312" w:hAnsi="仿宋_GB2312" w:cs="仿宋_GB2312" w:hint="eastAsia"/>
          <w:sz w:val="32"/>
          <w:szCs w:val="32"/>
        </w:rPr>
        <w:t>聘请上海锦天城（福州）律师事务所律师团队担任我局法律顾问，为我局重大事项、重大决策、规范性文件制定、行政复议诉讼等提供法律意见和建议，2023年，法律顾问为我局代理诉讼案件4件，指导办理复议案件32件，规范性文件审查1份，合同审查5份，及时帮助我局解决复杂疑难矛盾纠纷,推进各项重大决策部署合法合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四是强化公平竞争审查。</w:t>
      </w:r>
      <w:r>
        <w:rPr>
          <w:rFonts w:ascii="仿宋_GB2312" w:eastAsia="仿宋_GB2312" w:hAnsi="仿宋_GB2312" w:cs="仿宋_GB2312" w:hint="eastAsia"/>
          <w:sz w:val="32"/>
          <w:szCs w:val="32"/>
        </w:rPr>
        <w:t>健全公平竞争审查抽查、重大政策措施会审、举报和回应机制，指导各部门进一步健全和完善审查机制与审查流程，把公平竞争审查工作贯穿到政策措施起草、出台的全过程，暂未发现违反公平竞争原则有关文件出台。</w:t>
      </w:r>
    </w:p>
    <w:p w14:paraId="02D47085" w14:textId="77777777" w:rsidR="00A420D0" w:rsidRDefault="00000000">
      <w:pPr>
        <w:numPr>
          <w:ilvl w:val="0"/>
          <w:numId w:val="1"/>
        </w:num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优化营商环境，全力助推经济高质量发展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</w:p>
    <w:p w14:paraId="4BCF05F5" w14:textId="5004C22A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一是创优行政审批服务。</w:t>
      </w: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全省率先</w:t>
      </w:r>
      <w:r>
        <w:rPr>
          <w:rFonts w:ascii="仿宋_GB2312" w:eastAsia="仿宋_GB2312" w:hAnsi="仿宋_GB2312" w:cs="仿宋_GB2312" w:hint="eastAsia"/>
          <w:sz w:val="32"/>
          <w:szCs w:val="32"/>
        </w:rPr>
        <w:t>推出了市场主体注销及简单变更事项“零材料、打包办”改革工作，免除了注销企业遗失相关许可证照的公示要求，删减了100多项申请材料，实现市场主体营业执照及其相关行政许可证注销和简单变更审批“一次申请、一步到位”。改革工作得到区政府的通报表扬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二是创新政校合作模式。</w:t>
      </w:r>
      <w:r>
        <w:rPr>
          <w:rFonts w:ascii="仿宋_GB2312" w:eastAsia="仿宋_GB2312" w:hAnsi="仿宋_GB2312" w:cs="仿宋_GB2312" w:hint="eastAsia"/>
          <w:sz w:val="32"/>
          <w:szCs w:val="32"/>
        </w:rPr>
        <w:t>联合区税务局、中国人民银行福州经济技术开发区支行、招商银行福建</w:t>
      </w:r>
      <w:r w:rsidR="00BB4629">
        <w:rPr>
          <w:rFonts w:ascii="仿宋_GB2312" w:eastAsia="仿宋_GB2312" w:hAnsi="仿宋_GB2312" w:cs="仿宋_GB2312" w:hint="eastAsia"/>
          <w:sz w:val="32"/>
          <w:szCs w:val="32"/>
        </w:rPr>
        <w:t>自贸试验区</w:t>
      </w:r>
      <w:r>
        <w:rPr>
          <w:rFonts w:ascii="仿宋_GB2312" w:eastAsia="仿宋_GB2312" w:hAnsi="仿宋_GB2312" w:cs="仿宋_GB2312" w:hint="eastAsia"/>
          <w:sz w:val="32"/>
          <w:szCs w:val="32"/>
        </w:rPr>
        <w:t>福州片区分行、阳光学院设立“同心圆”学生创业服务平台，为大学生提供市场主体登记、税费政策咨询、金融服务等方面支持，助力大学生高质量创业。2023年，全区共新登记各类市场主体5542户，其中内资企业2142户、外资企业38户、个体工商户3261户、农民专业合作社1户。积极开展“2023招商强化年”活动，悉心服务助力10家企业加速落地，超出全年招商引资任务量的66.67%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三是标准引领效应显现。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发布专标融合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领域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全省首批</w:t>
      </w:r>
      <w:r>
        <w:rPr>
          <w:rFonts w:ascii="仿宋_GB2312" w:eastAsia="仿宋_GB2312" w:hAnsi="仿宋_GB2312" w:cs="仿宋_GB2312" w:hint="eastAsia"/>
          <w:sz w:val="32"/>
          <w:szCs w:val="32"/>
        </w:rPr>
        <w:t>市地方标准《专利与标准融合 政府工作指南》与《专利与标准融合 企业工作指南》，指导12家试点企业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建立专标融合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协同工作机制，已将247项专利融入57项标准中。组织15家小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微企业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开展质量提升行动。企业参与制修订标准32项，其中国家标准24项、地方标准4项、团体标准4项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。1项标准荣获2022年国家标准贡献奖二等奖，1项标准荣获2023年福建省标准贡献奖三等奖。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四是知识产权赋能发展。</w:t>
      </w:r>
      <w:r>
        <w:rPr>
          <w:rFonts w:ascii="仿宋_GB2312" w:eastAsia="仿宋_GB2312" w:hAnsi="仿宋_GB2312" w:cs="仿宋_GB2312" w:hint="eastAsia"/>
          <w:sz w:val="32"/>
          <w:szCs w:val="32"/>
        </w:rPr>
        <w:t>成功被确定为2023年国家知识产权强县建设示范县，2023年，我区有效发明量2396件，同比增长21.07%，位居全市第四；福建新大陆自动识别技术有限公司成功列入2023年福州市产业知识产权协同保护与运营中心；1家企业获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评国家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知识产权优势企业，3家企业获评福建省知识产权优势企业，1家企业获评福州市知识产权优势企业，4家企事业获得中央服务业发展（专利转化专项计划）资金，4项专利获市专利优秀奖，2个项目列入福州市高价值专利组合项目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五是大力推进水产品预制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菜产业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高质量发展。</w:t>
      </w:r>
      <w:r>
        <w:rPr>
          <w:rFonts w:ascii="仿宋_GB2312" w:eastAsia="仿宋_GB2312" w:hAnsi="仿宋_GB2312" w:cs="仿宋_GB2312" w:hint="eastAsia"/>
          <w:sz w:val="32"/>
          <w:szCs w:val="32"/>
        </w:rPr>
        <w:t>联合人民银行等八个部门制定《金融支持水产品、预制菜产业发展八条措施》，与中国检验认证集团福建有限公司建立“政府+检测机构+预制菜企业”合作新模式，组织相关企业成立“马尾区预制菜产业发展协会”，承办首届福建省水产预制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菜产业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发展大会，举办马尾区首届“预制菜文化旅游节”等多场预制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菜主题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宣传推介活动，助力我区获评“中国水产品预制菜之都”，在“2023预制菜产业百强基地”中位列全国第7名。</w:t>
      </w:r>
    </w:p>
    <w:p w14:paraId="2AE6F276" w14:textId="77777777" w:rsidR="00A420D0" w:rsidRDefault="00000000">
      <w:pPr>
        <w:spacing w:line="560" w:lineRule="exact"/>
        <w:ind w:firstLineChars="200" w:firstLine="643"/>
        <w:rPr>
          <w:rStyle w:val="a6"/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（五）聚焦“四个最严”，全力保障“三品一特”安全。</w:t>
      </w:r>
    </w:p>
    <w:p w14:paraId="067C3E9C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一是严控食品安全风险隐患。</w:t>
      </w:r>
      <w:r>
        <w:rPr>
          <w:rFonts w:ascii="仿宋_GB2312" w:eastAsia="仿宋_GB2312" w:hAnsi="仿宋_GB2312" w:cs="仿宋_GB2312" w:hint="eastAsia"/>
          <w:sz w:val="32"/>
          <w:szCs w:val="32"/>
        </w:rPr>
        <w:t>全年开展食品安全监督抽检约1500批次、快速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检测约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2000批次，圆满完成数字峰会等8场大型活动、2.3万余人次的食品安全保障任务。以食品安全攻坚专项行动为抓手，扎实开展食品专项检查，严查食品生产流通、餐饮服务环节安全隐患，共检查食品生产流通单位982家次、餐饮服务单位1969家次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二是严守人民群众用药安全。</w:t>
      </w:r>
      <w:r>
        <w:rPr>
          <w:rFonts w:ascii="仿宋_GB2312" w:eastAsia="仿宋_GB2312" w:hAnsi="仿宋_GB2312" w:cs="仿宋_GB2312" w:hint="eastAsia"/>
          <w:sz w:val="32"/>
          <w:szCs w:val="32"/>
        </w:rPr>
        <w:t>药品、化妆品抽检合格率连续5年保持100%，我区涉及重点追溯品种单体零售药店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入驻率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达到100%、追溯数据达95%以上，联合举办福州市医疗器械安全突发事件应急桌面演练。完成药品不良反应171例，器械不良事件报告93例，化妆品不良反应报告22例。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三是严抓特种设备安全监管。</w:t>
      </w:r>
      <w:r>
        <w:rPr>
          <w:rFonts w:ascii="仿宋_GB2312" w:eastAsia="仿宋_GB2312" w:hAnsi="仿宋_GB2312" w:cs="仿宋_GB2312" w:hint="eastAsia"/>
          <w:sz w:val="32"/>
          <w:szCs w:val="32"/>
        </w:rPr>
        <w:t>压实企业主体责任，指导588家特种设备生产使用单位建立“日管控、周排查、月调度”机制；加强风险隐患排查，检查特种设备使用单位212家次，发出监察指令书58份；全面完成100家特种设备使用单位日常监督检查工作，加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平台清网行动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，完成特种设备动态监管平台推送的106条事项的闭环管理；加强燃气安全监管，检查充装单位18家次。实施“专家会诊”，配合5家特种设备生产使用单位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开展证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后监督检查，提高特种设备生产使用安全水平。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四是严查产品质量安全隐患。</w:t>
      </w:r>
      <w:r>
        <w:rPr>
          <w:rFonts w:ascii="仿宋_GB2312" w:eastAsia="仿宋_GB2312" w:hAnsi="仿宋_GB2312" w:cs="仿宋_GB2312" w:hint="eastAsia"/>
          <w:sz w:val="32"/>
          <w:szCs w:val="32"/>
        </w:rPr>
        <w:t>指导28家工业产品生产企业建立质量安全主体责任制，完成14家获得工业产品生产许可生产企业全覆盖现场监督检查，检查17家非获证重点产品生产企业质量管理情况，有效防范化解风险;开展燃气用品、成品油、电动自行车、文具玩具等重点产品质量监管工作，完成流通领域产品质量抽检90批次，严格做好不合格产品后处理工作。</w:t>
      </w:r>
    </w:p>
    <w:p w14:paraId="6754CECC" w14:textId="77777777" w:rsidR="00A420D0" w:rsidRDefault="00000000">
      <w:pPr>
        <w:spacing w:line="560" w:lineRule="exact"/>
        <w:ind w:leftChars="200" w:left="420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（六）聚集制度规范，严格规范执法行为。</w:t>
      </w:r>
    </w:p>
    <w:p w14:paraId="44F0A3D3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一是加强法治队伍建设。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邀请专业法律顾问定期开展法治培训，重点围绕《市场监督管理行政处罚程序规定》，从行政处罚主要程序流程、重点节点及争议、行政复议与诉讼应对等方面进行了全面深刻的分析和讲解，并通过实际案例解析，深入浅出导出问题、应对方法等；定期组织开展行政执法交流会，通过案例分析等形式，就一类执法难点深入探讨，提出具体解决思路，实施精准普法，有效地提升执法人员依法行政水平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shd w:val="clear" w:color="auto" w:fill="FFFFFF"/>
        </w:rPr>
        <w:t>二是全面推行行政执法三项制度。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落实行政执法公示制度、执法全过程记录制度、重大执法决定法制审核制度，不断增强执法人员的岗位责任意识。2023年以来，归集企业行政许可、行政处罚、联合惩戒等信息20万余条，组织行政执法公示制度和执法全过程记录专项检查，对检查发现的情况进行通报，督促整改，推进行政执法责任制落实。行政执法人员尽职履责，在法定权限范围内依照法定程序行使职权，没有人员因玩忽职守、超越职权、滥用职权等情形被追究行政执法责任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三是加强行政执法监督。</w:t>
      </w:r>
      <w:r>
        <w:rPr>
          <w:rFonts w:ascii="仿宋_GB2312" w:eastAsia="仿宋_GB2312" w:hAnsi="仿宋_GB2312" w:cs="仿宋_GB2312" w:hint="eastAsia"/>
          <w:sz w:val="32"/>
          <w:szCs w:val="32"/>
        </w:rPr>
        <w:t>对行政处罚案件的违法事实、证据、执法程序、法律适用、处罚种类和幅度的自由裁量权适用等内容进行核审，保证行政处罚公平、公正，有效防止滥用职权、超越职权、违反法定程序的情况发生；严格执行重大案件法制审核和部门负责人集体讨论制度，组织开展行政执法案卷评查，对检查结果予以通报，组织整改，促进执法办案水平提高；认真履行主体责任，接受巡察组的评查，对发现问题及时督查整改；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2023年，我局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作出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的行政处罚决定都有明确的依据、程序，未出现被上级机关或人民法院变更或撤销的情况。</w:t>
      </w:r>
    </w:p>
    <w:p w14:paraId="7B946611" w14:textId="77777777" w:rsidR="00A420D0" w:rsidRDefault="00000000">
      <w:pPr>
        <w:spacing w:line="560" w:lineRule="exact"/>
        <w:ind w:leftChars="200" w:left="420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（七）提升监管效能，持续维护市场秩序。</w:t>
      </w:r>
    </w:p>
    <w:p w14:paraId="630D10B7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一是运用信用监管手段。</w:t>
      </w:r>
      <w:r>
        <w:rPr>
          <w:rFonts w:ascii="仿宋_GB2312" w:eastAsia="仿宋_GB2312" w:hAnsi="仿宋_GB2312" w:cs="仿宋_GB2312" w:hint="eastAsia"/>
          <w:sz w:val="32"/>
          <w:szCs w:val="32"/>
        </w:rPr>
        <w:t>企业年报率93.84%，位居全市前列，个体工商户年报率86.99%。选取62家吊销满两年的企业试行强制注销，清理吊销855户长期未经营企业，警示限制30余家企业，办结 102件股权冻结，列入经营异常名录5630条，移出经营异常名录1380条。</w:t>
      </w: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加大智慧监管力度</w:t>
      </w:r>
      <w:r>
        <w:rPr>
          <w:rFonts w:ascii="仿宋_GB2312" w:eastAsia="仿宋_GB2312" w:hAnsi="仿宋_GB2312" w:cs="仿宋_GB2312" w:hint="eastAsia"/>
          <w:sz w:val="32"/>
          <w:szCs w:val="32"/>
        </w:rPr>
        <w:t>。严格食品智慧化监管，优化升级水产品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一品一码“追溯体系，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将车辆信息与交易信息关联，实现“一车一品一码”；</w:t>
      </w:r>
      <w:r>
        <w:rPr>
          <w:rFonts w:ascii="仿宋_GB2312" w:eastAsia="仿宋_GB2312" w:hAnsi="仿宋_GB2312" w:cs="仿宋_GB2312" w:hint="eastAsia"/>
          <w:sz w:val="32"/>
          <w:szCs w:val="32"/>
        </w:rPr>
        <w:t>不断健全“智慧食安”监管平台，近300家食品生产经营单位纳入“智慧食安”监管平台，248家餐饮单位实现“互联网+明厨亮灶+AI轮巡”，指导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儒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江西路建成全区首个网络餐饮示范街。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三是维护和谐市场秩序。</w:t>
      </w:r>
      <w:r>
        <w:rPr>
          <w:rFonts w:ascii="仿宋_GB2312" w:eastAsia="仿宋_GB2312" w:hAnsi="仿宋_GB2312" w:cs="仿宋_GB2312" w:hint="eastAsia"/>
          <w:sz w:val="32"/>
          <w:szCs w:val="32"/>
        </w:rPr>
        <w:t>常态化推进扫黑除恶，扎实开展民生领域“铁拳”行动，严厉打击非法添加、假冒伪劣、商标侵权、虚假宣传、缺斤少两、哄抬物价等违法违规行为，规范粮食市场交易秩序，查处各类案件221起、罚没款191.35万元。销毁各类假冒伪劣涉案物品50余件，货值金额逾1.5万元，有力维护公平公正市场秩序。</w:t>
      </w:r>
    </w:p>
    <w:p w14:paraId="2E3892F0" w14:textId="77777777" w:rsidR="00A420D0" w:rsidRDefault="00000000">
      <w:pPr>
        <w:numPr>
          <w:ilvl w:val="0"/>
          <w:numId w:val="2"/>
        </w:numPr>
        <w:spacing w:line="560" w:lineRule="exact"/>
        <w:ind w:firstLineChars="200" w:firstLine="643"/>
        <w:rPr>
          <w:rStyle w:val="a6"/>
          <w:rFonts w:ascii="仿宋_GB2312" w:eastAsia="仿宋_GB2312" w:hAnsi="仿宋_GB2312" w:cs="仿宋_GB2312" w:hint="eastAsia"/>
          <w:sz w:val="32"/>
          <w:szCs w:val="32"/>
        </w:rPr>
      </w:pP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实施“八五”普法，全面推进普法工作。</w:t>
      </w:r>
    </w:p>
    <w:p w14:paraId="7E08481D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一是持续深化“谁执法谁普法”责任制。</w:t>
      </w:r>
      <w:r>
        <w:rPr>
          <w:rFonts w:ascii="仿宋_GB2312" w:eastAsia="仿宋_GB2312" w:hAnsi="仿宋_GB2312" w:cs="仿宋_GB2312" w:hint="eastAsia"/>
          <w:sz w:val="32"/>
          <w:szCs w:val="32"/>
        </w:rPr>
        <w:t>牵头印发《福州经济技术开发区市场监督管理局2023年法制工作要点》和《福州经济技术开发区市场监督管理局2023年度“谁执法谁普法”责任清单》，增强全区市场监管法治宣传教育的针对性和实效性，形成党组领导，法制机构组织协调、各业务机构分工负责的普法工作格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二是突出重点普法。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坚持日常宣传与主题宣传相结合，充分利用国际消费者权益保护日、世界知识产权日等重要时间节点,突出重点开展集中宣传活动。推广“以案释法”，通过典型案例发布、行政处罚决定公示、社会热点案件法治解读、微普法等形式，在进行日常监管和执法活动的同时，向企业和群众宣传国家法律法规和大政方针，推动行政执法与法治宣传有机结合。</w:t>
      </w: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三是提升普法实效。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强化系统内普法，组织执法人员参加《特种设备安全法》《药品管理法》等业务知识考试，紧密结合市场监管实际，突出重点内容和关键问题，以考促学，学以致用，促进市场监管人员将相关法律法规、理论知识、典型案例运用到日常的工作实践之中。</w:t>
      </w:r>
    </w:p>
    <w:p w14:paraId="0C77D93C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二、存在不足和问题</w:t>
      </w:r>
    </w:p>
    <w:p w14:paraId="56B1180C" w14:textId="77777777" w:rsidR="00A420D0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2023年法治政府建设工作日趋完善，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但距离</w:t>
      </w:r>
      <w:r>
        <w:rPr>
          <w:rFonts w:ascii="仿宋_GB2312" w:eastAsia="仿宋_GB2312" w:hAnsi="仿宋_GB2312" w:cs="仿宋_GB2312" w:hint="eastAsia"/>
          <w:sz w:val="32"/>
          <w:szCs w:val="32"/>
        </w:rPr>
        <w:t>法治政府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工作的要求还存在差距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新修订的法律法规在行政机关需要逐渐学习掌握并应用，新修改修订的法律法规较多，培训学习需要过程。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行政处罚裁量还需要进一步规范。在运用总局、省局有关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量规则、会议纪要、“四张清单”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等裁量规范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文件过程中，执法人员因对政策理解、工作角度、综合素质等因素影响，存在不会用、不敢用以及不正确适用的情况。三</w:t>
      </w:r>
      <w:r>
        <w:rPr>
          <w:rStyle w:val="a6"/>
          <w:rFonts w:ascii="仿宋_GB2312" w:eastAsia="仿宋_GB2312" w:hAnsi="仿宋_GB2312" w:cs="仿宋_GB2312" w:hint="eastAsia"/>
          <w:sz w:val="32"/>
          <w:szCs w:val="32"/>
        </w:rPr>
        <w:t>是</w:t>
      </w:r>
      <w:r>
        <w:rPr>
          <w:rFonts w:ascii="仿宋_GB2312" w:eastAsia="仿宋_GB2312" w:hAnsi="仿宋_GB2312" w:cs="仿宋_GB2312" w:hint="eastAsia"/>
          <w:sz w:val="32"/>
          <w:szCs w:val="32"/>
        </w:rPr>
        <w:t>普法工作有待加强，特别是涉及民生领域的从业人员素质相对不高，法律观念淡薄，缺乏主体责任意识。</w:t>
      </w:r>
    </w:p>
    <w:p w14:paraId="24B3082D" w14:textId="77777777" w:rsidR="00A420D0" w:rsidRDefault="00000000">
      <w:pPr>
        <w:pStyle w:val="a4"/>
        <w:spacing w:line="560" w:lineRule="exact"/>
        <w:ind w:leftChars="200" w:left="420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三、下一步工作安排</w:t>
      </w:r>
    </w:p>
    <w:p w14:paraId="64E09892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（一）规范培训学习。</w:t>
      </w:r>
      <w:r>
        <w:rPr>
          <w:rFonts w:ascii="仿宋_GB2312" w:eastAsia="仿宋_GB2312" w:hAnsi="仿宋_GB2312" w:cs="仿宋_GB2312" w:hint="eastAsia"/>
          <w:sz w:val="32"/>
          <w:szCs w:val="32"/>
        </w:rPr>
        <w:t>积极举办登记业务、执法办案、双随机检查等各类培训，将培训纳入规范化、制度化的渠道。着力提升基层市场监管人员综合素质和业务能力，努力打造一支技能高、业务精、素质好的基层市场监管队伍。</w:t>
      </w:r>
    </w:p>
    <w:p w14:paraId="553D5A7A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（二）强化行政执法监督。</w:t>
      </w:r>
      <w:r>
        <w:rPr>
          <w:rFonts w:ascii="仿宋_GB2312" w:eastAsia="仿宋_GB2312" w:hAnsi="仿宋_GB2312" w:cs="仿宋_GB2312" w:hint="eastAsia"/>
          <w:sz w:val="32"/>
          <w:szCs w:val="32"/>
        </w:rPr>
        <w:t>一是针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对行政执法中遇到的难点问题，强化学习和集中研究探讨，完善行政执法制度，进一步规范执法行为。二是将严格执法与警示教育相结合，落实市局轻微违法行为不予处罚事项清单和省局四张清单的执行。三是全面落实行政执法三项制度，加大对行政执法案卷的抽查力度。</w:t>
      </w:r>
    </w:p>
    <w:p w14:paraId="143381EC" w14:textId="77777777" w:rsidR="00A420D0" w:rsidRDefault="00000000">
      <w:pPr>
        <w:spacing w:line="560" w:lineRule="exact"/>
        <w:ind w:firstLineChars="200" w:firstLine="643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32"/>
          <w:szCs w:val="32"/>
        </w:rPr>
        <w:t>（三）推进法治宣传工作。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一是按照“谁执法谁普法”的原则，督促相关科室针对不同行业普法对象的特点，组织好相关法规业务培训和法治宣传活动。二是落实“府院联动”机制，通过与司法机关交流研讨的方式开展相关法律法规政策解读宣讲，促进食品药品行政执法与刑事司法衔接机制的落实。</w:t>
      </w:r>
    </w:p>
    <w:p w14:paraId="1A03B976" w14:textId="77777777" w:rsidR="00A420D0" w:rsidRDefault="00A420D0">
      <w:pPr>
        <w:pStyle w:val="a4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A420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A69B74-9E53-4627-BE59-7D0393B2C2E5}"/>
    <w:embedBold r:id="rId2" w:fontKey="{48D0D59B-5625-4721-84A5-ADFAC79417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D4A0B2-18AA-4007-9CE5-DD86BE50419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8EF3340B-FF6E-4618-A4AC-8C60E0AD379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F351ED70-8C00-48CD-B36B-3C3AB053CB4A}"/>
    <w:embedBold r:id="rId6" w:subsetted="1" w:fontKey="{A51E2C5D-1F9F-4C3D-9860-0AEECA4C98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A8DCCF3-8F57-4C71-A41B-55C5AE4922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FD2ED61"/>
    <w:multiLevelType w:val="singleLevel"/>
    <w:tmpl w:val="8FD2ED61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7073BF41"/>
    <w:multiLevelType w:val="singleLevel"/>
    <w:tmpl w:val="7073BF41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654989526">
    <w:abstractNumId w:val="0"/>
  </w:num>
  <w:num w:numId="2" w16cid:durableId="54623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1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I4N2MzNThkOWY2ZjU2OGVmODRhMzcxODliNmY2ZDQifQ=="/>
  </w:docVars>
  <w:rsids>
    <w:rsidRoot w:val="59CE0D46"/>
    <w:rsid w:val="004F6E7F"/>
    <w:rsid w:val="00A420D0"/>
    <w:rsid w:val="00BB4629"/>
    <w:rsid w:val="011E5620"/>
    <w:rsid w:val="0194674A"/>
    <w:rsid w:val="02862A01"/>
    <w:rsid w:val="02EA0864"/>
    <w:rsid w:val="04F50E2F"/>
    <w:rsid w:val="07950B26"/>
    <w:rsid w:val="096E7880"/>
    <w:rsid w:val="0B9E68E2"/>
    <w:rsid w:val="0BEE462D"/>
    <w:rsid w:val="0C307922"/>
    <w:rsid w:val="0C7A6BCA"/>
    <w:rsid w:val="0CCE7B48"/>
    <w:rsid w:val="10E40C20"/>
    <w:rsid w:val="111972EE"/>
    <w:rsid w:val="11B56CA5"/>
    <w:rsid w:val="12CC5D44"/>
    <w:rsid w:val="154D47EE"/>
    <w:rsid w:val="1EB4768C"/>
    <w:rsid w:val="23BB222B"/>
    <w:rsid w:val="24AA3A0B"/>
    <w:rsid w:val="29475CCC"/>
    <w:rsid w:val="29E415B1"/>
    <w:rsid w:val="2A781EB5"/>
    <w:rsid w:val="2CC80ED2"/>
    <w:rsid w:val="31A57684"/>
    <w:rsid w:val="32F02F31"/>
    <w:rsid w:val="33436BEF"/>
    <w:rsid w:val="35244AF8"/>
    <w:rsid w:val="35B04BF9"/>
    <w:rsid w:val="39311BAD"/>
    <w:rsid w:val="3EA71DCE"/>
    <w:rsid w:val="42B501A7"/>
    <w:rsid w:val="4C6D1621"/>
    <w:rsid w:val="4EE56128"/>
    <w:rsid w:val="516F6750"/>
    <w:rsid w:val="51D610EC"/>
    <w:rsid w:val="52531FF9"/>
    <w:rsid w:val="53206AC2"/>
    <w:rsid w:val="564E3947"/>
    <w:rsid w:val="59192495"/>
    <w:rsid w:val="59CE0D46"/>
    <w:rsid w:val="5B0E69BC"/>
    <w:rsid w:val="5F335618"/>
    <w:rsid w:val="62860A58"/>
    <w:rsid w:val="663A2500"/>
    <w:rsid w:val="6A411085"/>
    <w:rsid w:val="6A5A06B4"/>
    <w:rsid w:val="6E7508F0"/>
    <w:rsid w:val="717D6C3A"/>
    <w:rsid w:val="723F3F71"/>
    <w:rsid w:val="748702F8"/>
    <w:rsid w:val="754B57C9"/>
    <w:rsid w:val="76F1080C"/>
    <w:rsid w:val="76FE5E23"/>
    <w:rsid w:val="78BB2C66"/>
    <w:rsid w:val="7ACF29F8"/>
    <w:rsid w:val="7B104955"/>
    <w:rsid w:val="7D5B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42F7A97-4128-4E9E-8E74-38F879F0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semiHidden="1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semiHidden/>
    <w:qFormat/>
    <w:pPr>
      <w:ind w:firstLineChars="200" w:firstLine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1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783</Words>
  <Characters>4465</Characters>
  <Application>Microsoft Office Word</Application>
  <DocSecurity>0</DocSecurity>
  <Lines>37</Lines>
  <Paragraphs>10</Paragraphs>
  <ScaleCrop>false</ScaleCrop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花想容</dc:creator>
  <cp:lastModifiedBy>Carlotta</cp:lastModifiedBy>
  <cp:revision>2</cp:revision>
  <cp:lastPrinted>2024-02-28T02:52:00Z</cp:lastPrinted>
  <dcterms:created xsi:type="dcterms:W3CDTF">2024-02-26T11:58:00Z</dcterms:created>
  <dcterms:modified xsi:type="dcterms:W3CDTF">2024-09-09T06:16:00Z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02E04B4EB3DD4E8EA9F488E52B02FF91_13</vt:lpwstr>
  </property>
</Properties>
</file>