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5433C7">
      <w:pPr>
        <w:spacing w:line="360" w:lineRule="auto"/>
        <w:rPr>
          <w:rFonts w:hAnsi="Times New Roman" w:eastAsia="黑体"/>
          <w:sz w:val="24"/>
          <w:szCs w:val="24"/>
        </w:rPr>
      </w:pPr>
    </w:p>
    <w:p w14:paraId="5641E3AD">
      <w:pPr>
        <w:spacing w:line="360" w:lineRule="auto"/>
        <w:rPr>
          <w:rFonts w:hAnsi="Times New Roman" w:eastAsia="黑体"/>
          <w:sz w:val="24"/>
          <w:szCs w:val="24"/>
        </w:rPr>
      </w:pPr>
    </w:p>
    <w:p w14:paraId="5F8D3766">
      <w:pPr>
        <w:snapToGrid w:val="0"/>
        <w:spacing w:line="180" w:lineRule="auto"/>
        <w:rPr>
          <w:rFonts w:hAnsi="Times New Roman" w:eastAsia="黑体"/>
          <w:sz w:val="24"/>
          <w:szCs w:val="24"/>
        </w:rPr>
      </w:pPr>
    </w:p>
    <w:p w14:paraId="7A58A346">
      <w:pPr>
        <w:jc w:val="center"/>
        <w:rPr>
          <w:rFonts w:ascii="宋体" w:hAnsi="Times New Roman"/>
          <w:sz w:val="28"/>
        </w:rPr>
      </w:pPr>
    </w:p>
    <w:p w14:paraId="1869AB41">
      <w:pPr>
        <w:snapToGrid w:val="0"/>
        <w:jc w:val="center"/>
        <w:rPr>
          <w:rFonts w:ascii="宋体" w:hAnsi="Times New Roman"/>
          <w:sz w:val="28"/>
        </w:rPr>
      </w:pPr>
      <w:r>
        <w:rPr>
          <w:rFonts w:hint="eastAsia" w:ascii="宋体" w:hAnsi="Times New Roman"/>
          <w:sz w:val="28"/>
        </w:rPr>
        <w:t xml:space="preserve">                                     榕马环评〔</w:t>
      </w:r>
      <w:r>
        <w:rPr>
          <w:rFonts w:ascii="宋体" w:hAnsi="Times New Roman"/>
          <w:sz w:val="28"/>
        </w:rPr>
        <w:t>202</w:t>
      </w:r>
      <w:r>
        <w:rPr>
          <w:rFonts w:hint="eastAsia" w:ascii="宋体" w:hAnsi="Times New Roman"/>
          <w:sz w:val="28"/>
        </w:rPr>
        <w:t>5</w:t>
      </w:r>
      <w:r>
        <w:rPr>
          <w:rFonts w:ascii="宋体" w:hAnsi="Times New Roman"/>
          <w:sz w:val="28"/>
        </w:rPr>
        <w:t>〕</w:t>
      </w:r>
      <w:r>
        <w:rPr>
          <w:rFonts w:hint="eastAsia" w:ascii="宋体" w:hAnsi="Times New Roman"/>
          <w:sz w:val="28"/>
          <w:lang w:val="en-US" w:eastAsia="zh-CN"/>
        </w:rPr>
        <w:t>7</w:t>
      </w:r>
      <w:r>
        <w:rPr>
          <w:rFonts w:hint="eastAsia" w:ascii="宋体" w:hAnsi="Times New Roman"/>
          <w:sz w:val="28"/>
        </w:rPr>
        <w:t>号</w:t>
      </w:r>
    </w:p>
    <w:p w14:paraId="43EF2950">
      <w:pPr>
        <w:snapToGrid w:val="0"/>
        <w:jc w:val="center"/>
        <w:rPr>
          <w:rFonts w:ascii="宋体" w:hAnsi="Times New Roman"/>
          <w:sz w:val="32"/>
        </w:rPr>
      </w:pPr>
    </w:p>
    <w:p w14:paraId="7EF20A78">
      <w:pPr>
        <w:snapToGrid w:val="0"/>
        <w:jc w:val="center"/>
        <w:rPr>
          <w:rFonts w:ascii="宋体"/>
          <w:b/>
          <w:sz w:val="44"/>
          <w:szCs w:val="44"/>
        </w:rPr>
      </w:pPr>
      <w:r>
        <w:rPr>
          <w:rFonts w:hint="eastAsia" w:ascii="宋体"/>
          <w:b/>
          <w:sz w:val="44"/>
          <w:szCs w:val="44"/>
        </w:rPr>
        <w:t>福州市生态环境局</w:t>
      </w:r>
    </w:p>
    <w:p w14:paraId="6FECD078">
      <w:pPr>
        <w:snapToGrid w:val="0"/>
        <w:jc w:val="center"/>
        <w:rPr>
          <w:rFonts w:hint="eastAsia" w:ascii="宋体"/>
          <w:b/>
          <w:sz w:val="44"/>
          <w:szCs w:val="44"/>
        </w:rPr>
      </w:pPr>
      <w:r>
        <w:rPr>
          <w:rFonts w:hint="eastAsia" w:ascii="宋体"/>
          <w:b/>
          <w:sz w:val="44"/>
          <w:szCs w:val="44"/>
        </w:rPr>
        <w:t>关于福州兴欣海能源销售有限公司</w:t>
      </w:r>
    </w:p>
    <w:p w14:paraId="15D89034">
      <w:pPr>
        <w:snapToGrid w:val="0"/>
        <w:jc w:val="center"/>
        <w:rPr>
          <w:rFonts w:ascii="宋体"/>
          <w:b/>
          <w:sz w:val="44"/>
          <w:szCs w:val="44"/>
        </w:rPr>
      </w:pPr>
      <w:r>
        <w:rPr>
          <w:rFonts w:hint="eastAsia" w:ascii="宋体"/>
          <w:b/>
          <w:sz w:val="44"/>
          <w:szCs w:val="44"/>
        </w:rPr>
        <w:t>兴欣海能源项目环境影响报告表的批复</w:t>
      </w:r>
    </w:p>
    <w:p w14:paraId="0038F062">
      <w:pPr>
        <w:snapToGrid w:val="0"/>
        <w:jc w:val="center"/>
        <w:rPr>
          <w:rFonts w:ascii="仿宋_GB2312" w:eastAsia="仿宋_GB2312"/>
          <w:b/>
          <w:spacing w:val="-14"/>
          <w:sz w:val="28"/>
        </w:rPr>
      </w:pPr>
    </w:p>
    <w:p w14:paraId="37F3CB41">
      <w:pPr>
        <w:snapToGrid w:val="0"/>
        <w:spacing w:line="300" w:lineRule="auto"/>
        <w:rPr>
          <w:rFonts w:ascii="仿宋" w:hAnsi="仿宋" w:eastAsia="仿宋"/>
          <w:sz w:val="32"/>
          <w:szCs w:val="32"/>
        </w:rPr>
      </w:pPr>
      <w:r>
        <w:rPr>
          <w:rFonts w:hint="eastAsia" w:ascii="仿宋" w:hAnsi="仿宋" w:eastAsia="仿宋"/>
          <w:sz w:val="32"/>
          <w:szCs w:val="32"/>
        </w:rPr>
        <w:t>福州兴欣海能源销售有限公司：</w:t>
      </w:r>
    </w:p>
    <w:p w14:paraId="1FD1238C">
      <w:pPr>
        <w:snapToGrid w:val="0"/>
        <w:spacing w:line="300" w:lineRule="auto"/>
        <w:ind w:firstLine="645"/>
        <w:jc w:val="left"/>
        <w:rPr>
          <w:rFonts w:ascii="仿宋" w:hAnsi="仿宋" w:eastAsia="仿宋"/>
          <w:sz w:val="32"/>
          <w:szCs w:val="32"/>
        </w:rPr>
      </w:pPr>
      <w:r>
        <w:rPr>
          <w:rFonts w:hint="eastAsia" w:ascii="仿宋" w:hAnsi="仿宋" w:eastAsia="仿宋"/>
          <w:sz w:val="32"/>
          <w:szCs w:val="32"/>
        </w:rPr>
        <w:t>你公司报送的《福州兴欣海能源销售有限公司兴欣海能源项目环境影响报告表》（以下简称《报告表》）收悉。根据《中华人民共和国环境影响评价法》第二十二条等</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经审查</w:t>
      </w:r>
      <w:r>
        <w:rPr>
          <w:rFonts w:hint="eastAsia" w:ascii="仿宋" w:hAnsi="仿宋" w:eastAsia="仿宋"/>
          <w:sz w:val="32"/>
          <w:szCs w:val="32"/>
        </w:rPr>
        <w:t>，</w:t>
      </w:r>
      <w:r>
        <w:rPr>
          <w:rFonts w:ascii="仿宋" w:hAnsi="仿宋" w:eastAsia="仿宋"/>
          <w:sz w:val="32"/>
          <w:szCs w:val="32"/>
        </w:rPr>
        <w:t xml:space="preserve">现批复如下： </w:t>
      </w:r>
    </w:p>
    <w:p w14:paraId="66E8C670">
      <w:pPr>
        <w:adjustRightInd w:val="0"/>
        <w:snapToGrid w:val="0"/>
        <w:spacing w:line="300" w:lineRule="auto"/>
        <w:ind w:firstLine="640" w:firstLineChars="200"/>
        <w:rPr>
          <w:rFonts w:hint="eastAsia" w:ascii="仿宋" w:hAnsi="仿宋" w:eastAsia="仿宋"/>
          <w:sz w:val="32"/>
          <w:szCs w:val="32"/>
        </w:rPr>
      </w:pPr>
      <w:r>
        <w:rPr>
          <w:rFonts w:hint="eastAsia" w:ascii="仿宋" w:hAnsi="仿宋" w:eastAsia="仿宋"/>
          <w:snapToGrid w:val="0"/>
          <w:sz w:val="32"/>
          <w:szCs w:val="32"/>
        </w:rPr>
        <w:t>一、</w:t>
      </w:r>
      <w:r>
        <w:rPr>
          <w:rFonts w:hint="eastAsia" w:ascii="仿宋" w:hAnsi="仿宋" w:eastAsia="仿宋"/>
          <w:sz w:val="32"/>
          <w:szCs w:val="32"/>
        </w:rPr>
        <w:t>拟建项目位于福州市马尾区琅岐岛，228国道南侧、雁行江路东侧规划选址范围内。建设内容及规模：项目总用地面积5599平方米，总建筑面积1291.77平方米，</w:t>
      </w:r>
      <w:r>
        <w:rPr>
          <w:rFonts w:ascii="仿宋" w:hAnsi="仿宋" w:eastAsia="仿宋"/>
          <w:sz w:val="32"/>
          <w:szCs w:val="32"/>
        </w:rPr>
        <w:t>项目</w:t>
      </w:r>
      <w:r>
        <w:rPr>
          <w:rFonts w:hint="eastAsia" w:ascii="仿宋" w:hAnsi="仿宋" w:eastAsia="仿宋"/>
          <w:sz w:val="32"/>
          <w:szCs w:val="32"/>
        </w:rPr>
        <w:t>设置4个储油罐（包括0#柴油储罐50m</w:t>
      </w:r>
      <w:r>
        <w:rPr>
          <w:rFonts w:hint="eastAsia" w:ascii="仿宋" w:hAnsi="仿宋" w:eastAsia="仿宋"/>
          <w:sz w:val="32"/>
          <w:szCs w:val="32"/>
          <w:vertAlign w:val="superscript"/>
        </w:rPr>
        <w:t>3</w:t>
      </w:r>
      <w:r>
        <w:rPr>
          <w:rFonts w:hint="eastAsia" w:ascii="仿宋" w:hAnsi="仿宋" w:eastAsia="仿宋"/>
          <w:sz w:val="32"/>
          <w:szCs w:val="32"/>
        </w:rPr>
        <w:t>、92#汽油储罐50m</w:t>
      </w:r>
      <w:r>
        <w:rPr>
          <w:rFonts w:hint="eastAsia" w:ascii="仿宋" w:hAnsi="仿宋" w:eastAsia="仿宋"/>
          <w:sz w:val="32"/>
          <w:szCs w:val="32"/>
          <w:vertAlign w:val="superscript"/>
        </w:rPr>
        <w:t>3</w:t>
      </w:r>
      <w:r>
        <w:rPr>
          <w:rFonts w:hint="eastAsia" w:ascii="仿宋" w:hAnsi="仿宋" w:eastAsia="仿宋"/>
          <w:sz w:val="32"/>
          <w:szCs w:val="32"/>
        </w:rPr>
        <w:t>、95#汽油储罐50m</w:t>
      </w:r>
      <w:r>
        <w:rPr>
          <w:rFonts w:hint="eastAsia" w:ascii="仿宋" w:hAnsi="仿宋" w:eastAsia="仿宋"/>
          <w:sz w:val="32"/>
          <w:szCs w:val="32"/>
          <w:vertAlign w:val="superscript"/>
        </w:rPr>
        <w:t>3</w:t>
      </w:r>
      <w:r>
        <w:rPr>
          <w:rFonts w:hint="eastAsia" w:ascii="仿宋" w:hAnsi="仿宋" w:eastAsia="仿宋"/>
          <w:sz w:val="32"/>
          <w:szCs w:val="32"/>
        </w:rPr>
        <w:t>、98#汽油储罐23m</w:t>
      </w:r>
      <w:r>
        <w:rPr>
          <w:rFonts w:hint="eastAsia" w:ascii="仿宋" w:hAnsi="仿宋" w:eastAsia="仿宋"/>
          <w:sz w:val="32"/>
          <w:szCs w:val="32"/>
          <w:vertAlign w:val="superscript"/>
        </w:rPr>
        <w:t>3</w:t>
      </w:r>
      <w:r>
        <w:rPr>
          <w:rFonts w:hint="eastAsia" w:ascii="仿宋" w:hAnsi="仿宋" w:eastAsia="仿宋"/>
          <w:sz w:val="32"/>
          <w:szCs w:val="32"/>
        </w:rPr>
        <w:t>各1个），均为地埋卧式内钢外玻璃纤维增强塑料双层油罐，共计储罐容积173m</w:t>
      </w:r>
      <w:r>
        <w:rPr>
          <w:rFonts w:hint="eastAsia" w:ascii="仿宋" w:hAnsi="仿宋" w:eastAsia="仿宋"/>
          <w:sz w:val="32"/>
          <w:szCs w:val="32"/>
          <w:vertAlign w:val="superscript"/>
        </w:rPr>
        <w:t>3</w:t>
      </w:r>
      <w:r>
        <w:rPr>
          <w:rFonts w:hint="eastAsia" w:ascii="仿宋" w:hAnsi="仿宋" w:eastAsia="仿宋"/>
          <w:sz w:val="32"/>
          <w:szCs w:val="32"/>
        </w:rPr>
        <w:t>（折合汽油储罐总规模为148m</w:t>
      </w:r>
      <w:r>
        <w:rPr>
          <w:rFonts w:hint="eastAsia" w:ascii="仿宋" w:hAnsi="仿宋" w:eastAsia="仿宋"/>
          <w:sz w:val="32"/>
          <w:szCs w:val="32"/>
          <w:vertAlign w:val="superscript"/>
        </w:rPr>
        <w:t>3</w:t>
      </w:r>
      <w:r>
        <w:rPr>
          <w:rFonts w:hint="eastAsia" w:ascii="仿宋" w:hAnsi="仿宋" w:eastAsia="仿宋"/>
          <w:sz w:val="32"/>
          <w:szCs w:val="32"/>
        </w:rPr>
        <w:t>），属于二级汽车加油站。年销售柴油1500吨、汽油1332吨（其中92#汽油900吨、95#汽油360吨、98#汽油72吨）。</w:t>
      </w:r>
    </w:p>
    <w:p w14:paraId="1452FE11">
      <w:pPr>
        <w:adjustRightInd w:val="0"/>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根据《报告表》评价结论，你公司在严格落实《报告表》提出的污染防治措施前提下，从环境保护角度分析项目建设可行，原则同意该项目按《报告表》所列地点、性质、规模进行建设。</w:t>
      </w:r>
    </w:p>
    <w:p w14:paraId="26D4D50B">
      <w:pPr>
        <w:adjustRightInd w:val="0"/>
        <w:snapToGrid w:val="0"/>
        <w:spacing w:line="300" w:lineRule="auto"/>
        <w:ind w:firstLine="640" w:firstLineChars="200"/>
        <w:rPr>
          <w:rFonts w:hint="eastAsia" w:ascii="仿宋" w:hAnsi="仿宋" w:eastAsia="仿宋"/>
          <w:sz w:val="32"/>
          <w:szCs w:val="32"/>
        </w:rPr>
      </w:pPr>
      <w:r>
        <w:rPr>
          <w:rFonts w:hint="eastAsia" w:ascii="仿宋" w:hAnsi="仿宋" w:eastAsia="仿宋"/>
          <w:sz w:val="32"/>
          <w:szCs w:val="32"/>
        </w:rPr>
        <w:t>二、项目应严格按照《汽车加油加气站设计与施工规范》（GB 50156-2012</w:t>
      </w:r>
      <w:r>
        <w:rPr>
          <w:rFonts w:ascii="仿宋" w:hAnsi="仿宋" w:eastAsia="仿宋"/>
          <w:sz w:val="32"/>
          <w:szCs w:val="32"/>
        </w:rPr>
        <w:t>）</w:t>
      </w:r>
      <w:r>
        <w:rPr>
          <w:rFonts w:hint="eastAsia" w:ascii="仿宋" w:hAnsi="仿宋" w:eastAsia="仿宋"/>
          <w:sz w:val="32"/>
          <w:szCs w:val="32"/>
        </w:rPr>
        <w:t>(2014年版）进行设计、施工，在实施过程中应落实《报告表》提出的各项污染防治措施，重点做好以下工作：</w:t>
      </w:r>
    </w:p>
    <w:p w14:paraId="1995F955">
      <w:pPr>
        <w:adjustRightInd w:val="0"/>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二、项目在实施过程中应落实《报告表》提出的各项污染防治措施，确保各项污染物达标排放，并重点做好以下工作：</w:t>
      </w:r>
    </w:p>
    <w:p w14:paraId="5009FB0E">
      <w:pPr>
        <w:snapToGrid w:val="0"/>
        <w:spacing w:line="300" w:lineRule="auto"/>
        <w:ind w:firstLine="645"/>
        <w:rPr>
          <w:rFonts w:hint="eastAsia" w:ascii="仿宋" w:hAnsi="仿宋" w:eastAsia="仿宋"/>
          <w:sz w:val="32"/>
          <w:szCs w:val="32"/>
        </w:rPr>
      </w:pPr>
      <w:r>
        <w:rPr>
          <w:rFonts w:hint="eastAsia" w:ascii="仿宋" w:hAnsi="仿宋" w:eastAsia="仿宋"/>
          <w:sz w:val="32"/>
          <w:szCs w:val="32"/>
        </w:rPr>
        <w:t>1、厂区排水系统应实行雨污分流。应配套建设相应规模的废水处理设施，加油棚地面冲洗废水、卸油区初期雨水及洗车废水应分别经收集处理达标后与经处理达标的生活污水一并由一个排放口接入市政污水管网，纳入琅岐污水处理厂集中处理。</w:t>
      </w:r>
    </w:p>
    <w:p w14:paraId="25C15788">
      <w:pPr>
        <w:snapToGrid w:val="0"/>
        <w:spacing w:line="300" w:lineRule="auto"/>
        <w:ind w:firstLine="645"/>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color w:val="000000"/>
          <w:sz w:val="32"/>
          <w:szCs w:val="32"/>
        </w:rPr>
        <w:t>应</w:t>
      </w:r>
      <w:r>
        <w:rPr>
          <w:rFonts w:hint="eastAsia" w:ascii="仿宋" w:hAnsi="仿宋" w:eastAsia="仿宋"/>
          <w:sz w:val="32"/>
          <w:szCs w:val="32"/>
        </w:rPr>
        <w:t>按规范设置油气回收系统处理，</w:t>
      </w:r>
      <w:r>
        <w:rPr>
          <w:rFonts w:hint="eastAsia" w:ascii="仿宋" w:hAnsi="仿宋" w:eastAsia="仿宋"/>
          <w:sz w:val="32"/>
          <w:szCs w:val="32"/>
          <w:lang w:eastAsia="zh-CN"/>
        </w:rPr>
        <w:t>并</w:t>
      </w:r>
      <w:r>
        <w:rPr>
          <w:rFonts w:hint="eastAsia" w:ascii="仿宋" w:hAnsi="仿宋" w:eastAsia="仿宋"/>
          <w:sz w:val="32"/>
          <w:szCs w:val="32"/>
        </w:rPr>
        <w:t>配套油气回收在线监控，严格落实无组织</w:t>
      </w:r>
      <w:r>
        <w:rPr>
          <w:rFonts w:hint="eastAsia" w:ascii="仿宋" w:hAnsi="仿宋" w:eastAsia="仿宋"/>
          <w:sz w:val="32"/>
          <w:szCs w:val="32"/>
          <w:lang w:eastAsia="zh-CN"/>
        </w:rPr>
        <w:t>废气</w:t>
      </w:r>
      <w:r>
        <w:rPr>
          <w:rFonts w:hint="eastAsia" w:ascii="仿宋" w:hAnsi="仿宋" w:eastAsia="仿宋"/>
          <w:sz w:val="32"/>
          <w:szCs w:val="32"/>
        </w:rPr>
        <w:t>排放的防范措施，确保挥</w:t>
      </w:r>
      <w:r>
        <w:rPr>
          <w:rFonts w:ascii="仿宋" w:hAnsi="仿宋" w:eastAsia="仿宋"/>
          <w:sz w:val="32"/>
          <w:szCs w:val="32"/>
        </w:rPr>
        <w:t>发性有机物</w:t>
      </w:r>
      <w:r>
        <w:rPr>
          <w:rFonts w:hint="eastAsia" w:ascii="仿宋" w:hAnsi="仿宋" w:eastAsia="仿宋"/>
          <w:sz w:val="32"/>
          <w:szCs w:val="32"/>
        </w:rPr>
        <w:t>达标排放。备用柴油发电机</w:t>
      </w:r>
      <w:r>
        <w:rPr>
          <w:rFonts w:ascii="仿宋" w:hAnsi="仿宋" w:eastAsia="仿宋"/>
          <w:sz w:val="32"/>
          <w:szCs w:val="32"/>
        </w:rPr>
        <w:t>废</w:t>
      </w:r>
      <w:r>
        <w:rPr>
          <w:rFonts w:hint="eastAsia" w:ascii="仿宋" w:hAnsi="仿宋" w:eastAsia="仿宋"/>
          <w:sz w:val="32"/>
          <w:szCs w:val="32"/>
        </w:rPr>
        <w:t>气应经收集净化处理达标后经排烟竖井</w:t>
      </w:r>
      <w:r>
        <w:rPr>
          <w:rFonts w:ascii="仿宋" w:hAnsi="仿宋" w:eastAsia="仿宋"/>
          <w:sz w:val="32"/>
          <w:szCs w:val="32"/>
        </w:rPr>
        <w:t>引至</w:t>
      </w:r>
      <w:r>
        <w:rPr>
          <w:rFonts w:hint="eastAsia" w:ascii="仿宋" w:hAnsi="仿宋" w:eastAsia="仿宋"/>
          <w:sz w:val="32"/>
          <w:szCs w:val="32"/>
        </w:rPr>
        <w:t>楼</w:t>
      </w:r>
      <w:r>
        <w:rPr>
          <w:rFonts w:ascii="仿宋" w:hAnsi="仿宋" w:eastAsia="仿宋"/>
          <w:sz w:val="32"/>
          <w:szCs w:val="32"/>
        </w:rPr>
        <w:t>顶排放</w:t>
      </w:r>
      <w:r>
        <w:rPr>
          <w:rFonts w:hint="eastAsia" w:ascii="仿宋" w:hAnsi="仿宋" w:eastAsia="仿宋"/>
          <w:sz w:val="32"/>
          <w:szCs w:val="32"/>
        </w:rPr>
        <w:t>。</w:t>
      </w:r>
    </w:p>
    <w:p w14:paraId="6102C67A">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3、应选用低噪声设备，合理布局，空压机应设置专用隔声间，并对设备采取隔声、减振等综合降噪措施，确保厂界噪声达标排放。</w:t>
      </w:r>
    </w:p>
    <w:p w14:paraId="2AAEA833">
      <w:pPr>
        <w:adjustRightInd w:val="0"/>
        <w:snapToGrid w:val="0"/>
        <w:spacing w:line="300" w:lineRule="auto"/>
        <w:ind w:firstLine="640" w:firstLineChars="200"/>
        <w:outlineLvl w:val="0"/>
        <w:rPr>
          <w:rFonts w:hint="eastAsia" w:ascii="仿宋" w:hAnsi="仿宋" w:eastAsia="仿宋" w:cs="仿宋"/>
          <w:sz w:val="32"/>
          <w:szCs w:val="32"/>
          <w:highlight w:val="yellow"/>
        </w:rPr>
      </w:pPr>
      <w:r>
        <w:rPr>
          <w:rFonts w:hint="eastAsia" w:ascii="仿宋" w:hAnsi="仿宋" w:eastAsia="仿宋" w:cs="仿宋"/>
          <w:sz w:val="32"/>
          <w:szCs w:val="32"/>
        </w:rPr>
        <w:t>4、</w:t>
      </w:r>
      <w:r>
        <w:rPr>
          <w:rFonts w:hint="eastAsia" w:ascii="仿宋" w:hAnsi="仿宋" w:eastAsia="仿宋"/>
          <w:color w:val="000000"/>
          <w:sz w:val="32"/>
          <w:szCs w:val="32"/>
        </w:rPr>
        <w:t>固体废物应分类管理。</w:t>
      </w:r>
      <w:r>
        <w:rPr>
          <w:rFonts w:hint="eastAsia" w:ascii="仿宋" w:hAnsi="仿宋" w:eastAsia="仿宋"/>
          <w:sz w:val="32"/>
          <w:szCs w:val="32"/>
        </w:rPr>
        <w:t>废吸附物、储油罐底泥、废水处理浮油及污泥等危险废物，</w:t>
      </w:r>
      <w:r>
        <w:rPr>
          <w:rFonts w:hint="eastAsia" w:ascii="仿宋" w:hAnsi="仿宋" w:eastAsia="仿宋" w:cs="仿宋"/>
          <w:sz w:val="32"/>
          <w:szCs w:val="32"/>
        </w:rPr>
        <w:t>应委托有资质的处置单位规范处置。同时规范设置专用贮存间分别收集存放，建立危险废物管理台账，并严格按规定做好危险废物收集和转移工作。生活垃圾经分类收集后可委托环卫部门统一清运，做到日产日清。</w:t>
      </w:r>
    </w:p>
    <w:p w14:paraId="4F567E06">
      <w:pPr>
        <w:adjustRightInd w:val="0"/>
        <w:snapToGrid w:val="0"/>
        <w:spacing w:line="300" w:lineRule="auto"/>
        <w:ind w:firstLine="641"/>
        <w:outlineLvl w:val="0"/>
        <w:rPr>
          <w:rFonts w:ascii="仿宋" w:hAnsi="仿宋" w:eastAsia="仿宋"/>
          <w:sz w:val="32"/>
          <w:szCs w:val="32"/>
        </w:rPr>
      </w:pPr>
      <w:r>
        <w:rPr>
          <w:rFonts w:hint="eastAsia" w:ascii="仿宋" w:hAnsi="仿宋" w:eastAsia="仿宋" w:cs="仿宋"/>
          <w:sz w:val="32"/>
          <w:szCs w:val="32"/>
        </w:rPr>
        <w:t>5、</w:t>
      </w:r>
      <w:r>
        <w:rPr>
          <w:rFonts w:hint="eastAsia" w:ascii="仿宋" w:hAnsi="仿宋" w:eastAsia="仿宋"/>
          <w:color w:val="000000"/>
          <w:sz w:val="32"/>
          <w:szCs w:val="32"/>
        </w:rPr>
        <w:t>建立健全环保管理制度，</w:t>
      </w:r>
      <w:r>
        <w:rPr>
          <w:rFonts w:hint="eastAsia" w:ascii="仿宋" w:hAnsi="仿宋" w:eastAsia="仿宋"/>
          <w:sz w:val="32"/>
          <w:szCs w:val="32"/>
        </w:rPr>
        <w:t>严格落实《报告表》提出的</w:t>
      </w:r>
      <w:r>
        <w:rPr>
          <w:rFonts w:hint="eastAsia" w:ascii="仿宋" w:hAnsi="仿宋" w:eastAsia="仿宋"/>
          <w:color w:val="000000"/>
          <w:sz w:val="32"/>
          <w:szCs w:val="32"/>
        </w:rPr>
        <w:t>各项环境风险防控措施，制定环境应急预案，配备环境</w:t>
      </w:r>
      <w:bookmarkStart w:id="0" w:name="_GoBack"/>
      <w:bookmarkEnd w:id="0"/>
      <w:r>
        <w:rPr>
          <w:rFonts w:hint="eastAsia" w:ascii="仿宋" w:hAnsi="仿宋" w:eastAsia="仿宋"/>
          <w:color w:val="000000"/>
          <w:sz w:val="32"/>
          <w:szCs w:val="32"/>
          <w:lang w:eastAsia="zh-CN"/>
        </w:rPr>
        <w:t>应急物资</w:t>
      </w:r>
      <w:r>
        <w:rPr>
          <w:rFonts w:hint="eastAsia" w:ascii="仿宋" w:hAnsi="仿宋" w:eastAsia="仿宋"/>
          <w:color w:val="000000"/>
          <w:sz w:val="32"/>
          <w:szCs w:val="32"/>
        </w:rPr>
        <w:t>，防止发生环境污染事故。</w:t>
      </w:r>
    </w:p>
    <w:p w14:paraId="39DB4CD5">
      <w:pPr>
        <w:adjustRightInd w:val="0"/>
        <w:snapToGrid w:val="0"/>
        <w:spacing w:line="300" w:lineRule="auto"/>
        <w:ind w:firstLine="640" w:firstLineChars="200"/>
        <w:outlineLvl w:val="0"/>
        <w:rPr>
          <w:rFonts w:hint="eastAsia" w:ascii="仿宋" w:hAnsi="仿宋" w:eastAsia="仿宋"/>
          <w:sz w:val="32"/>
          <w:szCs w:val="32"/>
        </w:rPr>
      </w:pPr>
      <w:r>
        <w:rPr>
          <w:rFonts w:hint="eastAsia" w:ascii="仿宋" w:hAnsi="仿宋" w:eastAsia="仿宋" w:cs="仿宋"/>
          <w:sz w:val="32"/>
          <w:szCs w:val="32"/>
        </w:rPr>
        <w:t>6、加强施工期环境管理，采取相应的污染防治措施，最大限度地减轻施工噪声、扬尘、污水等对环境造成的影响。合理安排施工作业时间，防止对居民区等环境敏感目标影响。</w:t>
      </w:r>
    </w:p>
    <w:p w14:paraId="07DF7B41">
      <w:pPr>
        <w:adjustRightInd w:val="0"/>
        <w:snapToGrid w:val="0"/>
        <w:spacing w:line="300" w:lineRule="auto"/>
        <w:ind w:firstLine="640" w:firstLineChars="200"/>
        <w:outlineLvl w:val="0"/>
        <w:rPr>
          <w:rFonts w:ascii="仿宋" w:hAnsi="仿宋" w:eastAsia="仿宋"/>
          <w:sz w:val="32"/>
          <w:szCs w:val="32"/>
        </w:rPr>
      </w:pPr>
      <w:r>
        <w:rPr>
          <w:rFonts w:hint="eastAsia" w:ascii="仿宋" w:hAnsi="仿宋" w:eastAsia="仿宋"/>
          <w:sz w:val="32"/>
          <w:szCs w:val="32"/>
        </w:rPr>
        <w:t>三、污染物排放标准及主要污染物允许排放总量：</w:t>
      </w:r>
    </w:p>
    <w:p w14:paraId="044ADE33">
      <w:pPr>
        <w:snapToGrid w:val="0"/>
        <w:spacing w:line="300" w:lineRule="auto"/>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污水排放执行《污水综合排放标准》(GB 8978-1996)表4中三级标准，氨氮参照执行《污水排入城镇下水道水质标准》（GB/T 31962-2015）表1中B级</w:t>
      </w:r>
      <w:r>
        <w:rPr>
          <w:rFonts w:ascii="仿宋" w:hAnsi="仿宋" w:eastAsia="仿宋"/>
          <w:sz w:val="32"/>
          <w:szCs w:val="32"/>
        </w:rPr>
        <w:t>限值要求。</w:t>
      </w:r>
    </w:p>
    <w:p w14:paraId="25F17646">
      <w:pPr>
        <w:widowControl/>
        <w:snapToGrid w:val="0"/>
        <w:spacing w:line="300" w:lineRule="auto"/>
        <w:ind w:firstLine="640" w:firstLineChars="200"/>
        <w:jc w:val="left"/>
        <w:rPr>
          <w:rFonts w:hint="eastAsia" w:ascii="仿宋" w:hAnsi="仿宋" w:eastAsia="仿宋"/>
          <w:sz w:val="32"/>
          <w:szCs w:val="32"/>
        </w:rPr>
      </w:pPr>
      <w:r>
        <w:rPr>
          <w:rFonts w:hint="eastAsia" w:ascii="仿宋" w:hAnsi="仿宋" w:eastAsia="仿宋" w:cs="仿宋"/>
          <w:sz w:val="32"/>
          <w:szCs w:val="32"/>
        </w:rPr>
        <w:t>2、</w:t>
      </w:r>
      <w:r>
        <w:rPr>
          <w:rFonts w:ascii="仿宋" w:hAnsi="仿宋" w:eastAsia="仿宋"/>
          <w:sz w:val="32"/>
          <w:szCs w:val="32"/>
        </w:rPr>
        <w:t>油气处理装置的油气排放浓度</w:t>
      </w:r>
      <w:r>
        <w:rPr>
          <w:rFonts w:hint="eastAsia" w:ascii="仿宋" w:hAnsi="仿宋" w:eastAsia="仿宋"/>
          <w:sz w:val="32"/>
          <w:szCs w:val="32"/>
        </w:rPr>
        <w:t>执行《加油站大气污染物排放标准》（GB 20952-2020）中5.4条排放限值要求，</w:t>
      </w:r>
      <w:r>
        <w:rPr>
          <w:rFonts w:hint="eastAsia" w:ascii="仿宋" w:hAnsi="仿宋" w:eastAsia="仿宋" w:cs="仿宋"/>
          <w:sz w:val="32"/>
          <w:szCs w:val="32"/>
        </w:rPr>
        <w:t>非甲烷总烃</w:t>
      </w:r>
      <w:r>
        <w:rPr>
          <w:rFonts w:hint="eastAsia" w:ascii="仿宋" w:hAnsi="仿宋" w:eastAsia="仿宋"/>
          <w:sz w:val="32"/>
          <w:szCs w:val="32"/>
        </w:rPr>
        <w:t>废气无组织排放执行表3排放限值要求。</w:t>
      </w:r>
    </w:p>
    <w:p w14:paraId="51C7368D">
      <w:pPr>
        <w:snapToGrid w:val="0"/>
        <w:spacing w:line="30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厂区内VOCs无组织排放监控点浓度执行《挥发性有机物无组织排放控制标准》（GB 37822-2019）附录 A 中表 A.1 无组织排放限值。</w:t>
      </w:r>
    </w:p>
    <w:p w14:paraId="2A44A272">
      <w:pPr>
        <w:snapToGrid w:val="0"/>
        <w:spacing w:line="300" w:lineRule="auto"/>
        <w:ind w:firstLine="640" w:firstLineChars="200"/>
        <w:rPr>
          <w:rFonts w:hint="eastAsia" w:ascii="仿宋" w:hAnsi="仿宋" w:eastAsia="仿宋"/>
          <w:sz w:val="32"/>
          <w:szCs w:val="32"/>
        </w:rPr>
      </w:pPr>
      <w:r>
        <w:rPr>
          <w:rFonts w:hint="eastAsia" w:ascii="仿宋" w:hAnsi="仿宋" w:eastAsia="仿宋" w:cs="仿宋"/>
          <w:sz w:val="32"/>
          <w:szCs w:val="32"/>
        </w:rPr>
        <w:t>二氧化硫、氮氧化物、颗粒物废气有组织排放执行</w:t>
      </w:r>
      <w:r>
        <w:rPr>
          <w:rFonts w:hint="eastAsia" w:ascii="仿宋" w:hAnsi="仿宋" w:eastAsia="仿宋"/>
          <w:sz w:val="32"/>
          <w:szCs w:val="32"/>
        </w:rPr>
        <w:t>《大气污染物综合排放标准》（GB 16297-1996）表2中最高允许排放浓度限值。</w:t>
      </w:r>
    </w:p>
    <w:p w14:paraId="0AF9497A">
      <w:pPr>
        <w:snapToGrid w:val="0"/>
        <w:spacing w:line="300" w:lineRule="auto"/>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cs="仿宋"/>
          <w:sz w:val="32"/>
          <w:szCs w:val="32"/>
        </w:rPr>
        <w:t>厂</w:t>
      </w:r>
      <w:r>
        <w:rPr>
          <w:rFonts w:hint="eastAsia" w:ascii="仿宋" w:hAnsi="仿宋" w:eastAsia="仿宋"/>
          <w:sz w:val="32"/>
          <w:szCs w:val="32"/>
        </w:rPr>
        <w:t>界噪声排放除靠雁行江路</w:t>
      </w:r>
      <w:r>
        <w:rPr>
          <w:rFonts w:hint="eastAsia" w:ascii="仿宋" w:hAnsi="仿宋" w:eastAsia="仿宋" w:cs="仿宋"/>
          <w:sz w:val="32"/>
          <w:szCs w:val="32"/>
        </w:rPr>
        <w:t>一侧</w:t>
      </w:r>
      <w:r>
        <w:rPr>
          <w:rFonts w:hint="eastAsia" w:ascii="仿宋" w:hAnsi="仿宋" w:eastAsia="仿宋"/>
          <w:sz w:val="32"/>
          <w:szCs w:val="32"/>
        </w:rPr>
        <w:t>执行《工业企业厂界环境噪声排放标准》（GB 12348-2008）表1中4类标准，其它厂界噪声排放执行表1中2类标准。</w:t>
      </w:r>
    </w:p>
    <w:p w14:paraId="6B1D2928">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4、危险废物贮存执行《危险废物贮存污染控制标准》（GB 18597-2023）规定。</w:t>
      </w:r>
    </w:p>
    <w:p w14:paraId="258B6A01">
      <w:pPr>
        <w:autoSpaceDE w:val="0"/>
        <w:autoSpaceDN w:val="0"/>
        <w:adjustRightInd w:val="0"/>
        <w:snapToGrid w:val="0"/>
        <w:spacing w:line="300" w:lineRule="auto"/>
        <w:ind w:firstLine="640" w:firstLineChars="200"/>
        <w:jc w:val="left"/>
        <w:rPr>
          <w:rFonts w:hint="eastAsia" w:ascii="仿宋" w:hAnsi="仿宋" w:eastAsia="仿宋"/>
          <w:sz w:val="32"/>
          <w:szCs w:val="32"/>
        </w:rPr>
      </w:pPr>
      <w:r>
        <w:rPr>
          <w:rFonts w:hint="eastAsia" w:ascii="仿宋" w:hAnsi="仿宋" w:eastAsia="仿宋"/>
          <w:sz w:val="32"/>
          <w:szCs w:val="32"/>
        </w:rPr>
        <w:t>5、施工期噪声排放执行《建筑施工场界环境噪声排放标准》（GB 12523-2011）标准，施工扬尘排放执行《大气污染物综合排放标准》（GB 16297-1996）表2中无组织排放监控浓度限值。</w:t>
      </w:r>
    </w:p>
    <w:p w14:paraId="65825BA4">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6、主要污染物允许排放总量：</w:t>
      </w:r>
    </w:p>
    <w:p w14:paraId="4281CD9F">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项目新增VOCs（以非甲烷总烃计）排放总量不超过0.7023吨/年。在项目投产前，应按照相关规定取得所需的总量指标。今后生态环境行政主管部门将根据国家政策和实际情况对污染物排放总量进行调整核定，你公司应按照执行。</w:t>
      </w:r>
    </w:p>
    <w:p w14:paraId="2356BA14">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四、项目应严格执行环保“三同时”制度。投产前，应按照</w:t>
      </w:r>
      <w:r>
        <w:rPr>
          <w:rFonts w:hint="eastAsia" w:ascii="仿宋" w:hAnsi="仿宋" w:eastAsia="仿宋"/>
          <w:sz w:val="32"/>
          <w:szCs w:val="32"/>
        </w:rPr>
        <w:t>《排污许可管理办法（试行）》、《固定污染源排污许可分类管理名录》（2019年版）、《排污许可管理条例》</w:t>
      </w:r>
      <w:r>
        <w:rPr>
          <w:rFonts w:hint="eastAsia" w:ascii="仿宋" w:hAnsi="仿宋" w:eastAsia="仿宋" w:cs="仿宋"/>
          <w:sz w:val="32"/>
          <w:szCs w:val="32"/>
        </w:rPr>
        <w:t>等相关规定依法完成排污许可管理。项目竣工后，应依法按规定程序开展项目竣工环境保护验收</w:t>
      </w:r>
      <w:r>
        <w:rPr>
          <w:rFonts w:hint="eastAsia" w:ascii="仿宋" w:hAnsi="仿宋" w:eastAsia="仿宋"/>
          <w:sz w:val="32"/>
          <w:szCs w:val="32"/>
        </w:rPr>
        <w:t>。项目配套的各项环境保护设施未建成或未经竣工验收合格，项目不得投运。</w:t>
      </w:r>
    </w:p>
    <w:p w14:paraId="6C33867D">
      <w:pPr>
        <w:snapToGrid w:val="0"/>
        <w:spacing w:line="300" w:lineRule="auto"/>
        <w:ind w:firstLine="600"/>
        <w:rPr>
          <w:rFonts w:hint="eastAsia" w:ascii="仿宋" w:hAnsi="仿宋" w:eastAsia="仿宋" w:cs="仿宋"/>
          <w:sz w:val="32"/>
          <w:szCs w:val="32"/>
        </w:rPr>
      </w:pPr>
      <w:r>
        <w:rPr>
          <w:rFonts w:hint="eastAsia" w:ascii="仿宋" w:hAnsi="仿宋" w:eastAsia="仿宋" w:cs="仿宋"/>
          <w:sz w:val="32"/>
          <w:szCs w:val="32"/>
        </w:rPr>
        <w:t>五、我局委托福州市马尾生态环境保护综合执法大队开展该项目环保“三同时”监督检查、日常环保监督管理及负责督促</w:t>
      </w:r>
      <w:r>
        <w:rPr>
          <w:rFonts w:hint="eastAsia" w:ascii="仿宋" w:hAnsi="仿宋" w:eastAsia="仿宋"/>
          <w:sz w:val="32"/>
          <w:szCs w:val="32"/>
        </w:rPr>
        <w:t>福州兴欣海能源销售有限公司</w:t>
      </w:r>
      <w:r>
        <w:rPr>
          <w:rFonts w:hint="eastAsia" w:ascii="仿宋" w:hAnsi="仿宋" w:eastAsia="仿宋" w:cs="仿宋"/>
          <w:sz w:val="32"/>
          <w:szCs w:val="32"/>
        </w:rPr>
        <w:t>依法开展</w:t>
      </w:r>
      <w:r>
        <w:rPr>
          <w:rFonts w:hint="eastAsia" w:ascii="仿宋" w:hAnsi="仿宋" w:eastAsia="仿宋"/>
          <w:sz w:val="32"/>
          <w:szCs w:val="32"/>
        </w:rPr>
        <w:t>兴欣海能源项目</w:t>
      </w:r>
      <w:r>
        <w:rPr>
          <w:rFonts w:hint="eastAsia" w:ascii="仿宋" w:hAnsi="仿宋" w:eastAsia="仿宋" w:cs="仿宋"/>
          <w:sz w:val="32"/>
          <w:szCs w:val="32"/>
        </w:rPr>
        <w:t>竣工环保验收工作。</w:t>
      </w:r>
    </w:p>
    <w:p w14:paraId="4E64A10F">
      <w:pPr>
        <w:snapToGrid w:val="0"/>
        <w:spacing w:line="300" w:lineRule="auto"/>
        <w:ind w:firstLine="600"/>
        <w:rPr>
          <w:rFonts w:hint="eastAsia" w:ascii="仿宋" w:hAnsi="仿宋" w:eastAsia="仿宋" w:cs="仿宋"/>
          <w:sz w:val="32"/>
          <w:szCs w:val="32"/>
        </w:rPr>
      </w:pPr>
    </w:p>
    <w:p w14:paraId="4B1EFCA0">
      <w:pPr>
        <w:snapToGrid w:val="0"/>
        <w:spacing w:line="300" w:lineRule="auto"/>
        <w:ind w:firstLine="600"/>
        <w:rPr>
          <w:rFonts w:hint="eastAsia" w:ascii="仿宋" w:hAnsi="仿宋" w:eastAsia="仿宋" w:cs="仿宋"/>
          <w:sz w:val="32"/>
          <w:szCs w:val="32"/>
        </w:rPr>
      </w:pPr>
    </w:p>
    <w:p w14:paraId="58544FBF">
      <w:pPr>
        <w:snapToGrid w:val="0"/>
        <w:spacing w:line="300" w:lineRule="auto"/>
        <w:ind w:firstLine="600"/>
        <w:rPr>
          <w:rFonts w:hint="eastAsia" w:ascii="仿宋" w:hAnsi="仿宋" w:eastAsia="仿宋" w:cs="仿宋"/>
          <w:sz w:val="32"/>
          <w:szCs w:val="32"/>
        </w:rPr>
      </w:pPr>
    </w:p>
    <w:p w14:paraId="69F79ADB">
      <w:pPr>
        <w:snapToGrid w:val="0"/>
        <w:spacing w:line="300" w:lineRule="auto"/>
        <w:ind w:firstLine="600"/>
        <w:rPr>
          <w:rFonts w:hint="eastAsia" w:ascii="仿宋" w:hAnsi="仿宋" w:eastAsia="仿宋" w:cs="仿宋"/>
          <w:sz w:val="32"/>
          <w:szCs w:val="32"/>
        </w:rPr>
      </w:pPr>
    </w:p>
    <w:p w14:paraId="405CAE8A">
      <w:pPr>
        <w:snapToGrid w:val="0"/>
        <w:spacing w:line="300" w:lineRule="auto"/>
        <w:ind w:firstLine="600"/>
        <w:rPr>
          <w:rFonts w:hint="eastAsia" w:ascii="仿宋" w:hAnsi="仿宋" w:eastAsia="仿宋" w:cs="仿宋"/>
          <w:sz w:val="32"/>
          <w:szCs w:val="32"/>
        </w:rPr>
      </w:pPr>
    </w:p>
    <w:p w14:paraId="7C5A60F8">
      <w:pPr>
        <w:snapToGrid w:val="0"/>
        <w:spacing w:line="300" w:lineRule="auto"/>
        <w:ind w:firstLine="600"/>
        <w:rPr>
          <w:rFonts w:hint="eastAsia" w:ascii="仿宋" w:hAnsi="仿宋" w:eastAsia="仿宋" w:cs="仿宋"/>
          <w:sz w:val="32"/>
          <w:szCs w:val="32"/>
        </w:rPr>
      </w:pPr>
    </w:p>
    <w:p w14:paraId="07D19797">
      <w:pPr>
        <w:snapToGrid w:val="0"/>
        <w:spacing w:line="300" w:lineRule="auto"/>
        <w:ind w:firstLine="600"/>
        <w:rPr>
          <w:rFonts w:hint="eastAsia" w:ascii="仿宋" w:hAnsi="仿宋" w:eastAsia="仿宋" w:cs="仿宋"/>
          <w:sz w:val="32"/>
          <w:szCs w:val="32"/>
        </w:rPr>
      </w:pPr>
    </w:p>
    <w:p w14:paraId="6EEBEF55">
      <w:pPr>
        <w:snapToGrid w:val="0"/>
        <w:spacing w:line="300" w:lineRule="auto"/>
        <w:ind w:firstLine="600"/>
        <w:rPr>
          <w:rFonts w:hint="eastAsia" w:ascii="仿宋" w:hAnsi="仿宋" w:eastAsia="仿宋" w:cs="仿宋"/>
          <w:sz w:val="32"/>
          <w:szCs w:val="32"/>
        </w:rPr>
      </w:pPr>
    </w:p>
    <w:p w14:paraId="7566570C">
      <w:pPr>
        <w:snapToGrid w:val="0"/>
        <w:spacing w:line="300" w:lineRule="auto"/>
        <w:ind w:firstLine="600"/>
        <w:rPr>
          <w:rFonts w:hint="eastAsia" w:ascii="仿宋" w:hAnsi="仿宋" w:eastAsia="仿宋" w:cs="仿宋"/>
          <w:sz w:val="32"/>
          <w:szCs w:val="32"/>
        </w:rPr>
      </w:pPr>
    </w:p>
    <w:p w14:paraId="11F8C7C6">
      <w:pPr>
        <w:snapToGrid w:val="0"/>
        <w:spacing w:line="300" w:lineRule="auto"/>
        <w:ind w:firstLine="600"/>
        <w:rPr>
          <w:rFonts w:hint="eastAsia" w:ascii="仿宋" w:hAnsi="仿宋" w:eastAsia="仿宋" w:cs="仿宋"/>
          <w:sz w:val="32"/>
          <w:szCs w:val="32"/>
        </w:rPr>
      </w:pPr>
    </w:p>
    <w:p w14:paraId="72754D3D">
      <w:pPr>
        <w:snapToGrid w:val="0"/>
        <w:spacing w:line="300" w:lineRule="auto"/>
        <w:ind w:firstLine="600"/>
        <w:rPr>
          <w:rFonts w:ascii="仿宋" w:hAnsi="仿宋" w:eastAsia="仿宋" w:cs="仿宋"/>
          <w:sz w:val="32"/>
          <w:szCs w:val="32"/>
        </w:rPr>
      </w:pPr>
    </w:p>
    <w:p w14:paraId="77B33BFB">
      <w:pPr>
        <w:snapToGrid w:val="0"/>
        <w:spacing w:line="300" w:lineRule="auto"/>
        <w:ind w:firstLine="640" w:firstLineChars="200"/>
        <w:rPr>
          <w:rFonts w:ascii="仿宋" w:hAnsi="仿宋" w:eastAsia="仿宋"/>
          <w:sz w:val="32"/>
          <w:szCs w:val="32"/>
        </w:rPr>
      </w:pPr>
    </w:p>
    <w:p w14:paraId="6A48FF63">
      <w:pPr>
        <w:snapToGrid w:val="0"/>
        <w:spacing w:line="300" w:lineRule="auto"/>
        <w:ind w:firstLine="6080" w:firstLineChars="1900"/>
        <w:rPr>
          <w:rFonts w:ascii="仿宋" w:hAnsi="仿宋" w:eastAsia="仿宋"/>
          <w:sz w:val="32"/>
          <w:szCs w:val="32"/>
        </w:rPr>
      </w:pPr>
      <w:r>
        <w:rPr>
          <w:rFonts w:hint="eastAsia" w:ascii="仿宋" w:hAnsi="仿宋" w:eastAsia="仿宋"/>
          <w:sz w:val="32"/>
          <w:szCs w:val="32"/>
        </w:rPr>
        <w:t>福州市生态环境局</w:t>
      </w:r>
    </w:p>
    <w:p w14:paraId="39370C43">
      <w:pPr>
        <w:snapToGrid w:val="0"/>
        <w:spacing w:line="300" w:lineRule="auto"/>
        <w:ind w:left="5432" w:hanging="1123"/>
        <w:rPr>
          <w:rFonts w:hint="eastAsia" w:ascii="仿宋" w:hAnsi="仿宋" w:eastAsia="仿宋"/>
          <w:sz w:val="32"/>
          <w:szCs w:val="32"/>
        </w:rPr>
      </w:pPr>
      <w:r>
        <w:rPr>
          <w:rFonts w:hint="eastAsia" w:ascii="仿宋" w:hAnsi="仿宋" w:eastAsia="仿宋"/>
          <w:sz w:val="32"/>
          <w:szCs w:val="32"/>
        </w:rPr>
        <w:t xml:space="preserve">            2025年3月</w:t>
      </w:r>
      <w:r>
        <w:rPr>
          <w:rFonts w:hint="eastAsia" w:ascii="仿宋" w:hAnsi="仿宋" w:eastAsia="仿宋"/>
          <w:sz w:val="32"/>
          <w:szCs w:val="32"/>
          <w:lang w:val="en-US" w:eastAsia="zh-CN"/>
        </w:rPr>
        <w:t>24</w:t>
      </w:r>
      <w:r>
        <w:rPr>
          <w:rFonts w:hint="eastAsia" w:ascii="仿宋" w:hAnsi="仿宋" w:eastAsia="仿宋"/>
          <w:sz w:val="32"/>
          <w:szCs w:val="32"/>
        </w:rPr>
        <w:t xml:space="preserve"> 日</w:t>
      </w:r>
    </w:p>
    <w:p w14:paraId="4488C8D0">
      <w:pPr>
        <w:snapToGrid w:val="0"/>
        <w:spacing w:line="300" w:lineRule="auto"/>
        <w:ind w:left="5432" w:hanging="1123"/>
        <w:rPr>
          <w:rFonts w:hint="eastAsia" w:ascii="仿宋" w:hAnsi="仿宋" w:eastAsia="仿宋"/>
          <w:sz w:val="32"/>
          <w:szCs w:val="32"/>
        </w:rPr>
      </w:pPr>
    </w:p>
    <w:p w14:paraId="2B49FAC9">
      <w:pPr>
        <w:snapToGrid w:val="0"/>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此件主动公开</w:t>
      </w:r>
      <w:r>
        <w:rPr>
          <w:rFonts w:hint="eastAsia" w:ascii="仿宋" w:hAnsi="仿宋" w:eastAsia="仿宋"/>
          <w:sz w:val="32"/>
          <w:szCs w:val="32"/>
          <w:lang w:eastAsia="zh-CN"/>
        </w:rPr>
        <w:t>）</w:t>
      </w:r>
    </w:p>
    <w:p w14:paraId="5F23F5DB">
      <w:pPr>
        <w:snapToGrid w:val="0"/>
        <w:spacing w:line="300" w:lineRule="auto"/>
        <w:ind w:left="5432" w:hanging="1123"/>
        <w:rPr>
          <w:rFonts w:ascii="仿宋" w:hAnsi="仿宋" w:eastAsia="仿宋"/>
          <w:sz w:val="32"/>
          <w:szCs w:val="32"/>
        </w:rPr>
      </w:pPr>
    </w:p>
    <w:p w14:paraId="7DEC585F">
      <w:pPr>
        <w:snapToGrid w:val="0"/>
        <w:spacing w:line="120" w:lineRule="auto"/>
        <w:ind w:left="5279"/>
        <w:rPr>
          <w:rFonts w:ascii="仿宋_GB2312" w:hAnsi="Times New Roman" w:eastAsia="仿宋_GB2312"/>
          <w:sz w:val="18"/>
        </w:rPr>
      </w:pPr>
    </w:p>
    <w:tbl>
      <w:tblPr>
        <w:tblStyle w:val="31"/>
        <w:tblW w:w="9214" w:type="dxa"/>
        <w:tblInd w:w="108" w:type="dxa"/>
        <w:tblLayout w:type="fixed"/>
        <w:tblCellMar>
          <w:top w:w="0" w:type="dxa"/>
          <w:left w:w="0" w:type="dxa"/>
          <w:bottom w:w="0" w:type="dxa"/>
          <w:right w:w="0" w:type="dxa"/>
        </w:tblCellMar>
      </w:tblPr>
      <w:tblGrid>
        <w:gridCol w:w="993"/>
        <w:gridCol w:w="3885"/>
        <w:gridCol w:w="4336"/>
      </w:tblGrid>
      <w:tr w14:paraId="0D32EB9F">
        <w:tblPrEx>
          <w:tblCellMar>
            <w:top w:w="0" w:type="dxa"/>
            <w:left w:w="0" w:type="dxa"/>
            <w:bottom w:w="0" w:type="dxa"/>
            <w:right w:w="0" w:type="dxa"/>
          </w:tblCellMar>
        </w:tblPrEx>
        <w:trPr>
          <w:trHeight w:val="565" w:hRule="atLeast"/>
        </w:trPr>
        <w:tc>
          <w:tcPr>
            <w:tcW w:w="993" w:type="dxa"/>
            <w:tcBorders>
              <w:top w:val="single" w:color="000000" w:sz="4" w:space="0"/>
              <w:bottom w:val="single" w:color="000000" w:sz="4" w:space="0"/>
            </w:tcBorders>
            <w:tcMar>
              <w:top w:w="0" w:type="dxa"/>
              <w:left w:w="108" w:type="dxa"/>
              <w:bottom w:w="0" w:type="dxa"/>
              <w:right w:w="108" w:type="dxa"/>
            </w:tcMar>
            <w:vAlign w:val="center"/>
          </w:tcPr>
          <w:p w14:paraId="2353051C">
            <w:pPr>
              <w:tabs>
                <w:tab w:val="left" w:pos="3885"/>
              </w:tabs>
              <w:ind w:right="53"/>
              <w:rPr>
                <w:rFonts w:ascii="仿宋" w:hAnsi="仿宋" w:eastAsia="仿宋"/>
                <w:spacing w:val="-10"/>
                <w:sz w:val="28"/>
              </w:rPr>
            </w:pPr>
            <w:r>
              <w:rPr>
                <w:rFonts w:hint="eastAsia" w:ascii="仿宋" w:hAnsi="仿宋" w:eastAsia="仿宋"/>
                <w:spacing w:val="-10"/>
                <w:sz w:val="28"/>
              </w:rPr>
              <w:t>抄送：</w:t>
            </w:r>
          </w:p>
        </w:tc>
        <w:tc>
          <w:tcPr>
            <w:tcW w:w="8221" w:type="dxa"/>
            <w:gridSpan w:val="2"/>
            <w:tcBorders>
              <w:top w:val="single" w:color="000000" w:sz="4" w:space="0"/>
              <w:bottom w:val="single" w:color="000000" w:sz="4" w:space="0"/>
            </w:tcBorders>
            <w:tcMar>
              <w:top w:w="0" w:type="dxa"/>
              <w:left w:w="108" w:type="dxa"/>
              <w:bottom w:w="0" w:type="dxa"/>
              <w:right w:w="108" w:type="dxa"/>
            </w:tcMar>
            <w:vAlign w:val="center"/>
          </w:tcPr>
          <w:p w14:paraId="7F263677">
            <w:pPr>
              <w:tabs>
                <w:tab w:val="left" w:pos="3885"/>
              </w:tabs>
              <w:ind w:left="-130"/>
              <w:rPr>
                <w:rFonts w:ascii="仿宋" w:hAnsi="仿宋" w:eastAsia="仿宋"/>
                <w:sz w:val="25"/>
                <w:szCs w:val="25"/>
              </w:rPr>
            </w:pPr>
            <w:r>
              <w:rPr>
                <w:rFonts w:hint="eastAsia" w:ascii="仿宋" w:hAnsi="仿宋" w:eastAsia="仿宋"/>
                <w:sz w:val="25"/>
                <w:szCs w:val="25"/>
              </w:rPr>
              <w:t>福州市马尾生态环境保护综合执法大队、福建绿川环保科技有限公司</w:t>
            </w:r>
          </w:p>
        </w:tc>
      </w:tr>
      <w:tr w14:paraId="734D4F14">
        <w:tblPrEx>
          <w:tblCellMar>
            <w:top w:w="0" w:type="dxa"/>
            <w:left w:w="0" w:type="dxa"/>
            <w:bottom w:w="0" w:type="dxa"/>
            <w:right w:w="0" w:type="dxa"/>
          </w:tblCellMar>
        </w:tblPrEx>
        <w:trPr>
          <w:trHeight w:val="501" w:hRule="atLeast"/>
        </w:trPr>
        <w:tc>
          <w:tcPr>
            <w:tcW w:w="4878" w:type="dxa"/>
            <w:gridSpan w:val="2"/>
            <w:tcBorders>
              <w:top w:val="single" w:color="000000" w:sz="4" w:space="0"/>
              <w:bottom w:val="single" w:color="000000" w:sz="4" w:space="0"/>
            </w:tcBorders>
            <w:tcMar>
              <w:top w:w="0" w:type="dxa"/>
              <w:left w:w="108" w:type="dxa"/>
              <w:bottom w:w="0" w:type="dxa"/>
              <w:right w:w="108" w:type="dxa"/>
            </w:tcMar>
            <w:vAlign w:val="center"/>
          </w:tcPr>
          <w:p w14:paraId="44D74FC0">
            <w:pPr>
              <w:tabs>
                <w:tab w:val="left" w:pos="3885"/>
              </w:tabs>
              <w:ind w:firstLine="840" w:firstLineChars="300"/>
              <w:rPr>
                <w:rFonts w:ascii="仿宋" w:hAnsi="仿宋" w:eastAsia="仿宋"/>
                <w:sz w:val="28"/>
              </w:rPr>
            </w:pPr>
            <w:r>
              <w:rPr>
                <w:rFonts w:hint="eastAsia" w:ascii="仿宋" w:hAnsi="仿宋" w:eastAsia="仿宋"/>
                <w:sz w:val="28"/>
              </w:rPr>
              <w:t>福州市生态环境局</w:t>
            </w:r>
          </w:p>
        </w:tc>
        <w:tc>
          <w:tcPr>
            <w:tcW w:w="4336" w:type="dxa"/>
            <w:tcBorders>
              <w:top w:val="single" w:color="000000" w:sz="4" w:space="0"/>
              <w:bottom w:val="single" w:color="000000" w:sz="4" w:space="0"/>
            </w:tcBorders>
            <w:tcMar>
              <w:top w:w="0" w:type="dxa"/>
              <w:left w:w="108" w:type="dxa"/>
              <w:bottom w:w="0" w:type="dxa"/>
              <w:right w:w="108" w:type="dxa"/>
            </w:tcMar>
            <w:vAlign w:val="center"/>
          </w:tcPr>
          <w:p w14:paraId="2666A915">
            <w:pPr>
              <w:tabs>
                <w:tab w:val="left" w:pos="3882"/>
                <w:tab w:val="left" w:pos="3987"/>
              </w:tabs>
              <w:ind w:right="311" w:firstLine="840" w:firstLineChars="300"/>
              <w:rPr>
                <w:rFonts w:ascii="仿宋" w:hAnsi="仿宋" w:eastAsia="仿宋"/>
                <w:sz w:val="28"/>
              </w:rPr>
            </w:pPr>
            <w:r>
              <w:rPr>
                <w:rFonts w:hint="eastAsia" w:ascii="仿宋" w:hAnsi="仿宋" w:eastAsia="仿宋"/>
                <w:sz w:val="28"/>
              </w:rPr>
              <w:t xml:space="preserve">2025年3月 </w:t>
            </w:r>
            <w:r>
              <w:rPr>
                <w:rFonts w:hint="eastAsia" w:ascii="仿宋" w:hAnsi="仿宋" w:eastAsia="仿宋"/>
                <w:sz w:val="28"/>
                <w:lang w:val="en-US" w:eastAsia="zh-CN"/>
              </w:rPr>
              <w:t>24</w:t>
            </w:r>
            <w:r>
              <w:rPr>
                <w:rFonts w:hint="eastAsia" w:ascii="仿宋" w:hAnsi="仿宋" w:eastAsia="仿宋"/>
                <w:sz w:val="28"/>
              </w:rPr>
              <w:t>日印发</w:t>
            </w:r>
          </w:p>
        </w:tc>
      </w:tr>
    </w:tbl>
    <w:p w14:paraId="7E4268BB">
      <w:pPr>
        <w:snapToGrid w:val="0"/>
        <w:spacing w:line="60" w:lineRule="auto"/>
        <w:ind w:firstLine="3360"/>
        <w:rPr>
          <w:rFonts w:hAnsi="Times New Roman"/>
          <w:sz w:val="18"/>
        </w:rPr>
      </w:pPr>
    </w:p>
    <w:p w14:paraId="73B5A6FC">
      <w:pPr>
        <w:snapToGrid w:val="0"/>
        <w:jc w:val="center"/>
        <w:rPr>
          <w:rFonts w:hAnsi="Times New Roman"/>
          <w:sz w:val="18"/>
        </w:rPr>
      </w:pPr>
    </w:p>
    <w:sectPr>
      <w:headerReference r:id="rId3" w:type="default"/>
      <w:footerReference r:id="rId4" w:type="default"/>
      <w:pgSz w:w="11907" w:h="16840"/>
      <w:pgMar w:top="1440" w:right="1474" w:bottom="1440" w:left="1588"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E328">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14:paraId="008E9CD7">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0F9B">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kyOWY4ZjBiYzA3YjM3N2MwZTg1MTViZjFlZDE3NWIifQ=="/>
  </w:docVars>
  <w:rsids>
    <w:rsidRoot w:val="00891525"/>
    <w:rsid w:val="000014FB"/>
    <w:rsid w:val="00005FF6"/>
    <w:rsid w:val="000105B0"/>
    <w:rsid w:val="00012E8C"/>
    <w:rsid w:val="00013D70"/>
    <w:rsid w:val="00015FA3"/>
    <w:rsid w:val="00021405"/>
    <w:rsid w:val="00022E57"/>
    <w:rsid w:val="00023D5B"/>
    <w:rsid w:val="00023DE5"/>
    <w:rsid w:val="00024153"/>
    <w:rsid w:val="000268DE"/>
    <w:rsid w:val="000276A9"/>
    <w:rsid w:val="00027C2B"/>
    <w:rsid w:val="000304F1"/>
    <w:rsid w:val="00030D6E"/>
    <w:rsid w:val="000310D6"/>
    <w:rsid w:val="00036858"/>
    <w:rsid w:val="00037F59"/>
    <w:rsid w:val="000446C5"/>
    <w:rsid w:val="00044EB8"/>
    <w:rsid w:val="00044F23"/>
    <w:rsid w:val="00045872"/>
    <w:rsid w:val="000459ED"/>
    <w:rsid w:val="00047051"/>
    <w:rsid w:val="00050523"/>
    <w:rsid w:val="000529A1"/>
    <w:rsid w:val="00052EAD"/>
    <w:rsid w:val="00053E16"/>
    <w:rsid w:val="00053FC0"/>
    <w:rsid w:val="0005618E"/>
    <w:rsid w:val="000636D0"/>
    <w:rsid w:val="00063B40"/>
    <w:rsid w:val="00064380"/>
    <w:rsid w:val="0006555A"/>
    <w:rsid w:val="00066783"/>
    <w:rsid w:val="00075B19"/>
    <w:rsid w:val="00076993"/>
    <w:rsid w:val="0008078B"/>
    <w:rsid w:val="00081015"/>
    <w:rsid w:val="0008104B"/>
    <w:rsid w:val="000834E8"/>
    <w:rsid w:val="00090564"/>
    <w:rsid w:val="000907EE"/>
    <w:rsid w:val="00090D45"/>
    <w:rsid w:val="00091C53"/>
    <w:rsid w:val="00092BAE"/>
    <w:rsid w:val="000932E9"/>
    <w:rsid w:val="00093E51"/>
    <w:rsid w:val="00097758"/>
    <w:rsid w:val="000A0B6A"/>
    <w:rsid w:val="000A117B"/>
    <w:rsid w:val="000B0020"/>
    <w:rsid w:val="000B0140"/>
    <w:rsid w:val="000B1147"/>
    <w:rsid w:val="000B1646"/>
    <w:rsid w:val="000B1EB0"/>
    <w:rsid w:val="000B3ADA"/>
    <w:rsid w:val="000B3ED4"/>
    <w:rsid w:val="000B5179"/>
    <w:rsid w:val="000B762B"/>
    <w:rsid w:val="000C1193"/>
    <w:rsid w:val="000C25A2"/>
    <w:rsid w:val="000C3144"/>
    <w:rsid w:val="000C5773"/>
    <w:rsid w:val="000C584F"/>
    <w:rsid w:val="000C651C"/>
    <w:rsid w:val="000C7018"/>
    <w:rsid w:val="000D3B6F"/>
    <w:rsid w:val="000D41CD"/>
    <w:rsid w:val="000D4705"/>
    <w:rsid w:val="000D4BF8"/>
    <w:rsid w:val="000D5709"/>
    <w:rsid w:val="000D5C15"/>
    <w:rsid w:val="000D6323"/>
    <w:rsid w:val="000E05E8"/>
    <w:rsid w:val="000E140F"/>
    <w:rsid w:val="000E346C"/>
    <w:rsid w:val="000E3A49"/>
    <w:rsid w:val="000E5B89"/>
    <w:rsid w:val="000E77CA"/>
    <w:rsid w:val="000E79B4"/>
    <w:rsid w:val="000F24BA"/>
    <w:rsid w:val="000F28C6"/>
    <w:rsid w:val="000F3A51"/>
    <w:rsid w:val="000F3E70"/>
    <w:rsid w:val="000F5AD0"/>
    <w:rsid w:val="00101FEE"/>
    <w:rsid w:val="00102144"/>
    <w:rsid w:val="00103932"/>
    <w:rsid w:val="00103CA6"/>
    <w:rsid w:val="0010497B"/>
    <w:rsid w:val="00106333"/>
    <w:rsid w:val="00106E81"/>
    <w:rsid w:val="0010784A"/>
    <w:rsid w:val="00107C77"/>
    <w:rsid w:val="001134DF"/>
    <w:rsid w:val="00115A05"/>
    <w:rsid w:val="00116003"/>
    <w:rsid w:val="001167D8"/>
    <w:rsid w:val="00122C1C"/>
    <w:rsid w:val="00123089"/>
    <w:rsid w:val="00125D6F"/>
    <w:rsid w:val="0013142B"/>
    <w:rsid w:val="00131977"/>
    <w:rsid w:val="00133F79"/>
    <w:rsid w:val="001349B7"/>
    <w:rsid w:val="0013558B"/>
    <w:rsid w:val="00136F11"/>
    <w:rsid w:val="00140545"/>
    <w:rsid w:val="00140649"/>
    <w:rsid w:val="00143766"/>
    <w:rsid w:val="00143C15"/>
    <w:rsid w:val="00147AB3"/>
    <w:rsid w:val="0015051F"/>
    <w:rsid w:val="00151F64"/>
    <w:rsid w:val="001538B9"/>
    <w:rsid w:val="00154190"/>
    <w:rsid w:val="00155BCE"/>
    <w:rsid w:val="001604AC"/>
    <w:rsid w:val="001613F5"/>
    <w:rsid w:val="00161D70"/>
    <w:rsid w:val="0016210F"/>
    <w:rsid w:val="00167E55"/>
    <w:rsid w:val="001706E3"/>
    <w:rsid w:val="00170D75"/>
    <w:rsid w:val="00171119"/>
    <w:rsid w:val="001712D7"/>
    <w:rsid w:val="00171CEE"/>
    <w:rsid w:val="001721FB"/>
    <w:rsid w:val="001741A4"/>
    <w:rsid w:val="00175EA6"/>
    <w:rsid w:val="00182177"/>
    <w:rsid w:val="00183D55"/>
    <w:rsid w:val="00184728"/>
    <w:rsid w:val="00185273"/>
    <w:rsid w:val="00186618"/>
    <w:rsid w:val="001871FB"/>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3E4C"/>
    <w:rsid w:val="001B4A1D"/>
    <w:rsid w:val="001B4A80"/>
    <w:rsid w:val="001B5295"/>
    <w:rsid w:val="001B5FFB"/>
    <w:rsid w:val="001B636D"/>
    <w:rsid w:val="001B672F"/>
    <w:rsid w:val="001B727D"/>
    <w:rsid w:val="001C1163"/>
    <w:rsid w:val="001C417D"/>
    <w:rsid w:val="001C42B1"/>
    <w:rsid w:val="001C57F1"/>
    <w:rsid w:val="001C69FE"/>
    <w:rsid w:val="001C753E"/>
    <w:rsid w:val="001C7886"/>
    <w:rsid w:val="001D04F5"/>
    <w:rsid w:val="001D138F"/>
    <w:rsid w:val="001D1C93"/>
    <w:rsid w:val="001D4165"/>
    <w:rsid w:val="001D437D"/>
    <w:rsid w:val="001D562A"/>
    <w:rsid w:val="001E0D02"/>
    <w:rsid w:val="001E11AD"/>
    <w:rsid w:val="001E2F46"/>
    <w:rsid w:val="001E32BF"/>
    <w:rsid w:val="001E403D"/>
    <w:rsid w:val="001E6287"/>
    <w:rsid w:val="001E73B8"/>
    <w:rsid w:val="001E78AC"/>
    <w:rsid w:val="001E78B2"/>
    <w:rsid w:val="001E7DC0"/>
    <w:rsid w:val="001F1C53"/>
    <w:rsid w:val="001F379B"/>
    <w:rsid w:val="001F462B"/>
    <w:rsid w:val="001F543F"/>
    <w:rsid w:val="001F5DBC"/>
    <w:rsid w:val="001F7416"/>
    <w:rsid w:val="001F7551"/>
    <w:rsid w:val="001F7726"/>
    <w:rsid w:val="00200AE8"/>
    <w:rsid w:val="00201056"/>
    <w:rsid w:val="002014CF"/>
    <w:rsid w:val="002021AF"/>
    <w:rsid w:val="0020442E"/>
    <w:rsid w:val="00204682"/>
    <w:rsid w:val="00204A57"/>
    <w:rsid w:val="00204C6F"/>
    <w:rsid w:val="00206998"/>
    <w:rsid w:val="00206D7D"/>
    <w:rsid w:val="002070BC"/>
    <w:rsid w:val="0020773B"/>
    <w:rsid w:val="0021000B"/>
    <w:rsid w:val="00211516"/>
    <w:rsid w:val="00211A36"/>
    <w:rsid w:val="00214552"/>
    <w:rsid w:val="00215040"/>
    <w:rsid w:val="0021637D"/>
    <w:rsid w:val="00216CA5"/>
    <w:rsid w:val="00221351"/>
    <w:rsid w:val="002228A0"/>
    <w:rsid w:val="00222EA4"/>
    <w:rsid w:val="00223781"/>
    <w:rsid w:val="00227AD0"/>
    <w:rsid w:val="00230C35"/>
    <w:rsid w:val="00232042"/>
    <w:rsid w:val="002323D4"/>
    <w:rsid w:val="002335EC"/>
    <w:rsid w:val="00233C1B"/>
    <w:rsid w:val="002343E2"/>
    <w:rsid w:val="002359CD"/>
    <w:rsid w:val="00235D84"/>
    <w:rsid w:val="00236CD8"/>
    <w:rsid w:val="00237209"/>
    <w:rsid w:val="0024141C"/>
    <w:rsid w:val="002428D6"/>
    <w:rsid w:val="00244478"/>
    <w:rsid w:val="0024553D"/>
    <w:rsid w:val="00246A65"/>
    <w:rsid w:val="0025132A"/>
    <w:rsid w:val="002520DF"/>
    <w:rsid w:val="00254D3F"/>
    <w:rsid w:val="002562DB"/>
    <w:rsid w:val="00256B9A"/>
    <w:rsid w:val="002601D3"/>
    <w:rsid w:val="00270E9D"/>
    <w:rsid w:val="00271213"/>
    <w:rsid w:val="00272FA9"/>
    <w:rsid w:val="0027553C"/>
    <w:rsid w:val="00276D5E"/>
    <w:rsid w:val="00276E11"/>
    <w:rsid w:val="002803CE"/>
    <w:rsid w:val="00281449"/>
    <w:rsid w:val="00282405"/>
    <w:rsid w:val="00283772"/>
    <w:rsid w:val="00284C27"/>
    <w:rsid w:val="002858A5"/>
    <w:rsid w:val="00286561"/>
    <w:rsid w:val="00287DAE"/>
    <w:rsid w:val="002915EA"/>
    <w:rsid w:val="0029546D"/>
    <w:rsid w:val="00295D66"/>
    <w:rsid w:val="002969BD"/>
    <w:rsid w:val="00297660"/>
    <w:rsid w:val="00297E44"/>
    <w:rsid w:val="002A31DE"/>
    <w:rsid w:val="002A34AE"/>
    <w:rsid w:val="002A466E"/>
    <w:rsid w:val="002A4B53"/>
    <w:rsid w:val="002A5A01"/>
    <w:rsid w:val="002A5A3A"/>
    <w:rsid w:val="002A704A"/>
    <w:rsid w:val="002B025E"/>
    <w:rsid w:val="002B17C7"/>
    <w:rsid w:val="002B18D9"/>
    <w:rsid w:val="002B25E3"/>
    <w:rsid w:val="002B558F"/>
    <w:rsid w:val="002B57EB"/>
    <w:rsid w:val="002C0305"/>
    <w:rsid w:val="002C47F2"/>
    <w:rsid w:val="002C4D3D"/>
    <w:rsid w:val="002C541E"/>
    <w:rsid w:val="002C7683"/>
    <w:rsid w:val="002D11F6"/>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012C"/>
    <w:rsid w:val="00324C33"/>
    <w:rsid w:val="00326791"/>
    <w:rsid w:val="00326FAB"/>
    <w:rsid w:val="00330045"/>
    <w:rsid w:val="00330F06"/>
    <w:rsid w:val="003314E0"/>
    <w:rsid w:val="00331CAD"/>
    <w:rsid w:val="00333506"/>
    <w:rsid w:val="00333640"/>
    <w:rsid w:val="003337DF"/>
    <w:rsid w:val="0033430B"/>
    <w:rsid w:val="0033644D"/>
    <w:rsid w:val="00336827"/>
    <w:rsid w:val="00337BDA"/>
    <w:rsid w:val="00340BAC"/>
    <w:rsid w:val="00341326"/>
    <w:rsid w:val="00343D8F"/>
    <w:rsid w:val="00344679"/>
    <w:rsid w:val="003471D0"/>
    <w:rsid w:val="00347D0B"/>
    <w:rsid w:val="003505A3"/>
    <w:rsid w:val="003566FB"/>
    <w:rsid w:val="00361BA6"/>
    <w:rsid w:val="00366812"/>
    <w:rsid w:val="00367067"/>
    <w:rsid w:val="00367EB7"/>
    <w:rsid w:val="003702E9"/>
    <w:rsid w:val="00370B1F"/>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4B95"/>
    <w:rsid w:val="003963CB"/>
    <w:rsid w:val="00396958"/>
    <w:rsid w:val="0039738C"/>
    <w:rsid w:val="003A0AA6"/>
    <w:rsid w:val="003A1AEA"/>
    <w:rsid w:val="003B1090"/>
    <w:rsid w:val="003B11EA"/>
    <w:rsid w:val="003B228D"/>
    <w:rsid w:val="003B72CD"/>
    <w:rsid w:val="003C12BF"/>
    <w:rsid w:val="003C2EAC"/>
    <w:rsid w:val="003C46EE"/>
    <w:rsid w:val="003C5407"/>
    <w:rsid w:val="003C61E0"/>
    <w:rsid w:val="003D261B"/>
    <w:rsid w:val="003D43AA"/>
    <w:rsid w:val="003D4EF5"/>
    <w:rsid w:val="003D777E"/>
    <w:rsid w:val="003D7BED"/>
    <w:rsid w:val="003E06BF"/>
    <w:rsid w:val="003E10B4"/>
    <w:rsid w:val="003E2137"/>
    <w:rsid w:val="003E3CF1"/>
    <w:rsid w:val="003E3DF1"/>
    <w:rsid w:val="003E4412"/>
    <w:rsid w:val="003E6634"/>
    <w:rsid w:val="003F12D0"/>
    <w:rsid w:val="003F14AF"/>
    <w:rsid w:val="003F34CD"/>
    <w:rsid w:val="003F6E6B"/>
    <w:rsid w:val="004006A7"/>
    <w:rsid w:val="00400872"/>
    <w:rsid w:val="00401300"/>
    <w:rsid w:val="00401814"/>
    <w:rsid w:val="00401DA5"/>
    <w:rsid w:val="00402D88"/>
    <w:rsid w:val="004035CF"/>
    <w:rsid w:val="004068DF"/>
    <w:rsid w:val="00406ED1"/>
    <w:rsid w:val="00411787"/>
    <w:rsid w:val="00417D4F"/>
    <w:rsid w:val="004216DF"/>
    <w:rsid w:val="00421730"/>
    <w:rsid w:val="00421A29"/>
    <w:rsid w:val="00421C91"/>
    <w:rsid w:val="0042301A"/>
    <w:rsid w:val="00426BA5"/>
    <w:rsid w:val="004272CF"/>
    <w:rsid w:val="00427687"/>
    <w:rsid w:val="00432F25"/>
    <w:rsid w:val="00434FF3"/>
    <w:rsid w:val="00436BF6"/>
    <w:rsid w:val="00437197"/>
    <w:rsid w:val="00437B52"/>
    <w:rsid w:val="00440572"/>
    <w:rsid w:val="004424FC"/>
    <w:rsid w:val="00445318"/>
    <w:rsid w:val="00445BD0"/>
    <w:rsid w:val="00447010"/>
    <w:rsid w:val="0044732C"/>
    <w:rsid w:val="004513CA"/>
    <w:rsid w:val="00452FED"/>
    <w:rsid w:val="004541F0"/>
    <w:rsid w:val="0045690D"/>
    <w:rsid w:val="0045693B"/>
    <w:rsid w:val="004571E7"/>
    <w:rsid w:val="00457715"/>
    <w:rsid w:val="00461272"/>
    <w:rsid w:val="00461367"/>
    <w:rsid w:val="0046189C"/>
    <w:rsid w:val="00462C39"/>
    <w:rsid w:val="00462F18"/>
    <w:rsid w:val="004654EF"/>
    <w:rsid w:val="004656B4"/>
    <w:rsid w:val="00465A18"/>
    <w:rsid w:val="004669AC"/>
    <w:rsid w:val="00466DD8"/>
    <w:rsid w:val="004674BF"/>
    <w:rsid w:val="00471497"/>
    <w:rsid w:val="004726B1"/>
    <w:rsid w:val="004736B2"/>
    <w:rsid w:val="00473F1B"/>
    <w:rsid w:val="0047569B"/>
    <w:rsid w:val="0047690A"/>
    <w:rsid w:val="00476A46"/>
    <w:rsid w:val="00477A5C"/>
    <w:rsid w:val="004815EA"/>
    <w:rsid w:val="00483AF4"/>
    <w:rsid w:val="00485121"/>
    <w:rsid w:val="00486951"/>
    <w:rsid w:val="00487EB8"/>
    <w:rsid w:val="00493759"/>
    <w:rsid w:val="004941D5"/>
    <w:rsid w:val="004961F5"/>
    <w:rsid w:val="004968B7"/>
    <w:rsid w:val="004974DA"/>
    <w:rsid w:val="00497780"/>
    <w:rsid w:val="00497A76"/>
    <w:rsid w:val="004A0AE4"/>
    <w:rsid w:val="004A0EC6"/>
    <w:rsid w:val="004A16CD"/>
    <w:rsid w:val="004A44A2"/>
    <w:rsid w:val="004A5C03"/>
    <w:rsid w:val="004B14FE"/>
    <w:rsid w:val="004B2BFF"/>
    <w:rsid w:val="004B38E9"/>
    <w:rsid w:val="004B53F3"/>
    <w:rsid w:val="004B68B6"/>
    <w:rsid w:val="004C01D4"/>
    <w:rsid w:val="004C101E"/>
    <w:rsid w:val="004C13C9"/>
    <w:rsid w:val="004C3338"/>
    <w:rsid w:val="004C45E3"/>
    <w:rsid w:val="004C49D9"/>
    <w:rsid w:val="004C62FF"/>
    <w:rsid w:val="004C772E"/>
    <w:rsid w:val="004D15A8"/>
    <w:rsid w:val="004D1CC4"/>
    <w:rsid w:val="004D44E9"/>
    <w:rsid w:val="004D4E15"/>
    <w:rsid w:val="004D55FA"/>
    <w:rsid w:val="004D599B"/>
    <w:rsid w:val="004D72E9"/>
    <w:rsid w:val="004D7E50"/>
    <w:rsid w:val="004E3DB1"/>
    <w:rsid w:val="004E520B"/>
    <w:rsid w:val="004E5781"/>
    <w:rsid w:val="004E5C66"/>
    <w:rsid w:val="004E7C23"/>
    <w:rsid w:val="004F09CB"/>
    <w:rsid w:val="004F2EDC"/>
    <w:rsid w:val="004F561B"/>
    <w:rsid w:val="004F57A6"/>
    <w:rsid w:val="004F6819"/>
    <w:rsid w:val="004F79D4"/>
    <w:rsid w:val="0050012F"/>
    <w:rsid w:val="00501460"/>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AEE"/>
    <w:rsid w:val="00547B3B"/>
    <w:rsid w:val="0055080A"/>
    <w:rsid w:val="00551656"/>
    <w:rsid w:val="00551C7B"/>
    <w:rsid w:val="00553B1A"/>
    <w:rsid w:val="005545B3"/>
    <w:rsid w:val="00555BBC"/>
    <w:rsid w:val="00557C71"/>
    <w:rsid w:val="00560800"/>
    <w:rsid w:val="00560B31"/>
    <w:rsid w:val="0056105D"/>
    <w:rsid w:val="00561681"/>
    <w:rsid w:val="005619FB"/>
    <w:rsid w:val="005624A5"/>
    <w:rsid w:val="00562638"/>
    <w:rsid w:val="00562D43"/>
    <w:rsid w:val="00562F49"/>
    <w:rsid w:val="005630EA"/>
    <w:rsid w:val="00563339"/>
    <w:rsid w:val="00566F62"/>
    <w:rsid w:val="00567F63"/>
    <w:rsid w:val="005709D0"/>
    <w:rsid w:val="0057638B"/>
    <w:rsid w:val="005810F8"/>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95824"/>
    <w:rsid w:val="005A18F3"/>
    <w:rsid w:val="005A2206"/>
    <w:rsid w:val="005A2A73"/>
    <w:rsid w:val="005A4592"/>
    <w:rsid w:val="005A4EF6"/>
    <w:rsid w:val="005A5463"/>
    <w:rsid w:val="005A63F6"/>
    <w:rsid w:val="005A7C01"/>
    <w:rsid w:val="005B0334"/>
    <w:rsid w:val="005B151D"/>
    <w:rsid w:val="005B1D4C"/>
    <w:rsid w:val="005B36C0"/>
    <w:rsid w:val="005B4962"/>
    <w:rsid w:val="005B4B23"/>
    <w:rsid w:val="005B4D27"/>
    <w:rsid w:val="005B4F82"/>
    <w:rsid w:val="005B5899"/>
    <w:rsid w:val="005B62DC"/>
    <w:rsid w:val="005B7621"/>
    <w:rsid w:val="005B7A3D"/>
    <w:rsid w:val="005C08A0"/>
    <w:rsid w:val="005C1EFE"/>
    <w:rsid w:val="005C25E8"/>
    <w:rsid w:val="005C2BD3"/>
    <w:rsid w:val="005C47DB"/>
    <w:rsid w:val="005C5EA8"/>
    <w:rsid w:val="005D0696"/>
    <w:rsid w:val="005D0E65"/>
    <w:rsid w:val="005D1BB6"/>
    <w:rsid w:val="005D20F2"/>
    <w:rsid w:val="005D23E3"/>
    <w:rsid w:val="005D3B30"/>
    <w:rsid w:val="005D3D42"/>
    <w:rsid w:val="005D7DBE"/>
    <w:rsid w:val="005E2A77"/>
    <w:rsid w:val="005E36BC"/>
    <w:rsid w:val="005E42BA"/>
    <w:rsid w:val="005E6152"/>
    <w:rsid w:val="005E7DAD"/>
    <w:rsid w:val="005F0578"/>
    <w:rsid w:val="005F3E28"/>
    <w:rsid w:val="005F7411"/>
    <w:rsid w:val="006004B7"/>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A8A"/>
    <w:rsid w:val="00647E5C"/>
    <w:rsid w:val="00647F9C"/>
    <w:rsid w:val="006529BE"/>
    <w:rsid w:val="00652A4D"/>
    <w:rsid w:val="006536DD"/>
    <w:rsid w:val="0065402E"/>
    <w:rsid w:val="006540E0"/>
    <w:rsid w:val="00654A61"/>
    <w:rsid w:val="00655FAE"/>
    <w:rsid w:val="00656402"/>
    <w:rsid w:val="00661073"/>
    <w:rsid w:val="00661293"/>
    <w:rsid w:val="0066150F"/>
    <w:rsid w:val="00666556"/>
    <w:rsid w:val="00666BB7"/>
    <w:rsid w:val="00667414"/>
    <w:rsid w:val="0067132D"/>
    <w:rsid w:val="00672CA8"/>
    <w:rsid w:val="006765FC"/>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4F94"/>
    <w:rsid w:val="006A6A40"/>
    <w:rsid w:val="006B00AC"/>
    <w:rsid w:val="006B08BA"/>
    <w:rsid w:val="006B0A99"/>
    <w:rsid w:val="006B0D8B"/>
    <w:rsid w:val="006B2D1D"/>
    <w:rsid w:val="006B2F42"/>
    <w:rsid w:val="006B4826"/>
    <w:rsid w:val="006B4BB5"/>
    <w:rsid w:val="006B596A"/>
    <w:rsid w:val="006C284C"/>
    <w:rsid w:val="006C335C"/>
    <w:rsid w:val="006C3C6A"/>
    <w:rsid w:val="006C47AA"/>
    <w:rsid w:val="006C536D"/>
    <w:rsid w:val="006C5F49"/>
    <w:rsid w:val="006C648F"/>
    <w:rsid w:val="006C682B"/>
    <w:rsid w:val="006C6EC0"/>
    <w:rsid w:val="006D4924"/>
    <w:rsid w:val="006D4BBC"/>
    <w:rsid w:val="006D4C4A"/>
    <w:rsid w:val="006D4D1E"/>
    <w:rsid w:val="006D6F38"/>
    <w:rsid w:val="006E09CB"/>
    <w:rsid w:val="006E1179"/>
    <w:rsid w:val="006E21C5"/>
    <w:rsid w:val="006E34BE"/>
    <w:rsid w:val="006E3807"/>
    <w:rsid w:val="006E47CD"/>
    <w:rsid w:val="006E64E2"/>
    <w:rsid w:val="006E6959"/>
    <w:rsid w:val="006F1721"/>
    <w:rsid w:val="006F1D18"/>
    <w:rsid w:val="006F239E"/>
    <w:rsid w:val="006F49E4"/>
    <w:rsid w:val="006F5C13"/>
    <w:rsid w:val="006F6F88"/>
    <w:rsid w:val="00700592"/>
    <w:rsid w:val="00703A50"/>
    <w:rsid w:val="007057A2"/>
    <w:rsid w:val="0070769E"/>
    <w:rsid w:val="00712247"/>
    <w:rsid w:val="007122E2"/>
    <w:rsid w:val="00712948"/>
    <w:rsid w:val="00712A60"/>
    <w:rsid w:val="00716A25"/>
    <w:rsid w:val="00716D08"/>
    <w:rsid w:val="00717C8A"/>
    <w:rsid w:val="00720E5E"/>
    <w:rsid w:val="00721BDD"/>
    <w:rsid w:val="007230AE"/>
    <w:rsid w:val="0072314B"/>
    <w:rsid w:val="00723438"/>
    <w:rsid w:val="00724964"/>
    <w:rsid w:val="00730881"/>
    <w:rsid w:val="00733806"/>
    <w:rsid w:val="00735101"/>
    <w:rsid w:val="0073593E"/>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1D1C"/>
    <w:rsid w:val="00763403"/>
    <w:rsid w:val="007730D2"/>
    <w:rsid w:val="007730F6"/>
    <w:rsid w:val="0077346A"/>
    <w:rsid w:val="00777729"/>
    <w:rsid w:val="00777EFF"/>
    <w:rsid w:val="007802F2"/>
    <w:rsid w:val="00782B43"/>
    <w:rsid w:val="0078490E"/>
    <w:rsid w:val="00785F60"/>
    <w:rsid w:val="00787EC9"/>
    <w:rsid w:val="00790021"/>
    <w:rsid w:val="00792066"/>
    <w:rsid w:val="007922D2"/>
    <w:rsid w:val="00792AE7"/>
    <w:rsid w:val="0079320C"/>
    <w:rsid w:val="007936A1"/>
    <w:rsid w:val="0079402D"/>
    <w:rsid w:val="00795868"/>
    <w:rsid w:val="007A02AB"/>
    <w:rsid w:val="007A0DF3"/>
    <w:rsid w:val="007A1EA3"/>
    <w:rsid w:val="007A277A"/>
    <w:rsid w:val="007A2B1B"/>
    <w:rsid w:val="007A4F8A"/>
    <w:rsid w:val="007A53D4"/>
    <w:rsid w:val="007A57A1"/>
    <w:rsid w:val="007A6031"/>
    <w:rsid w:val="007A6C49"/>
    <w:rsid w:val="007B1DA5"/>
    <w:rsid w:val="007B3586"/>
    <w:rsid w:val="007B7093"/>
    <w:rsid w:val="007C13D0"/>
    <w:rsid w:val="007C3447"/>
    <w:rsid w:val="007C378C"/>
    <w:rsid w:val="007C539C"/>
    <w:rsid w:val="007C79A5"/>
    <w:rsid w:val="007C7ADB"/>
    <w:rsid w:val="007C7C22"/>
    <w:rsid w:val="007D11B0"/>
    <w:rsid w:val="007D1546"/>
    <w:rsid w:val="007D295E"/>
    <w:rsid w:val="007D3363"/>
    <w:rsid w:val="007D46E8"/>
    <w:rsid w:val="007D4C0A"/>
    <w:rsid w:val="007D6351"/>
    <w:rsid w:val="007D7DBA"/>
    <w:rsid w:val="007E12BD"/>
    <w:rsid w:val="007E1521"/>
    <w:rsid w:val="007E2979"/>
    <w:rsid w:val="007E2A26"/>
    <w:rsid w:val="007E2F62"/>
    <w:rsid w:val="007E5634"/>
    <w:rsid w:val="007E7700"/>
    <w:rsid w:val="007F0AD6"/>
    <w:rsid w:val="007F202F"/>
    <w:rsid w:val="007F4E0B"/>
    <w:rsid w:val="007F5A17"/>
    <w:rsid w:val="007F735D"/>
    <w:rsid w:val="00801630"/>
    <w:rsid w:val="00801CFB"/>
    <w:rsid w:val="00806CE6"/>
    <w:rsid w:val="00807DA2"/>
    <w:rsid w:val="00810F2E"/>
    <w:rsid w:val="00812140"/>
    <w:rsid w:val="0081230D"/>
    <w:rsid w:val="008138F8"/>
    <w:rsid w:val="008141F7"/>
    <w:rsid w:val="00815C8C"/>
    <w:rsid w:val="00815DAE"/>
    <w:rsid w:val="008234E3"/>
    <w:rsid w:val="00823B46"/>
    <w:rsid w:val="00823B9F"/>
    <w:rsid w:val="00824B20"/>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D1F"/>
    <w:rsid w:val="0084276F"/>
    <w:rsid w:val="00843760"/>
    <w:rsid w:val="008470B2"/>
    <w:rsid w:val="008500C5"/>
    <w:rsid w:val="00850A50"/>
    <w:rsid w:val="008526DA"/>
    <w:rsid w:val="00852BBC"/>
    <w:rsid w:val="0085498F"/>
    <w:rsid w:val="00854BAD"/>
    <w:rsid w:val="00855DDC"/>
    <w:rsid w:val="008649A5"/>
    <w:rsid w:val="00864D7B"/>
    <w:rsid w:val="00867FA6"/>
    <w:rsid w:val="00871170"/>
    <w:rsid w:val="00873D97"/>
    <w:rsid w:val="008806DA"/>
    <w:rsid w:val="008809F0"/>
    <w:rsid w:val="0088110B"/>
    <w:rsid w:val="008835F8"/>
    <w:rsid w:val="00884E37"/>
    <w:rsid w:val="00886354"/>
    <w:rsid w:val="00890058"/>
    <w:rsid w:val="00890C7A"/>
    <w:rsid w:val="00891525"/>
    <w:rsid w:val="00892448"/>
    <w:rsid w:val="00892D2C"/>
    <w:rsid w:val="008931F8"/>
    <w:rsid w:val="008973D0"/>
    <w:rsid w:val="008A03C1"/>
    <w:rsid w:val="008A119A"/>
    <w:rsid w:val="008A1A88"/>
    <w:rsid w:val="008A1C73"/>
    <w:rsid w:val="008A6198"/>
    <w:rsid w:val="008B2FF6"/>
    <w:rsid w:val="008B3F6F"/>
    <w:rsid w:val="008C0128"/>
    <w:rsid w:val="008C26F2"/>
    <w:rsid w:val="008C2E93"/>
    <w:rsid w:val="008C3508"/>
    <w:rsid w:val="008C3AF3"/>
    <w:rsid w:val="008C3ECA"/>
    <w:rsid w:val="008C72B0"/>
    <w:rsid w:val="008C7642"/>
    <w:rsid w:val="008C77B3"/>
    <w:rsid w:val="008C78CD"/>
    <w:rsid w:val="008D0F45"/>
    <w:rsid w:val="008D2118"/>
    <w:rsid w:val="008D599C"/>
    <w:rsid w:val="008D6E86"/>
    <w:rsid w:val="008E1AD7"/>
    <w:rsid w:val="008E2EEF"/>
    <w:rsid w:val="008E782A"/>
    <w:rsid w:val="008F090A"/>
    <w:rsid w:val="008F4EAD"/>
    <w:rsid w:val="00900233"/>
    <w:rsid w:val="009013EA"/>
    <w:rsid w:val="00901D39"/>
    <w:rsid w:val="009020D5"/>
    <w:rsid w:val="0090222F"/>
    <w:rsid w:val="0090318F"/>
    <w:rsid w:val="009035CD"/>
    <w:rsid w:val="009048C3"/>
    <w:rsid w:val="009058FA"/>
    <w:rsid w:val="009059FC"/>
    <w:rsid w:val="00905AC1"/>
    <w:rsid w:val="0091267A"/>
    <w:rsid w:val="009137CD"/>
    <w:rsid w:val="0091454F"/>
    <w:rsid w:val="009147D6"/>
    <w:rsid w:val="00914911"/>
    <w:rsid w:val="00916883"/>
    <w:rsid w:val="00917DD3"/>
    <w:rsid w:val="00921EAF"/>
    <w:rsid w:val="009237EF"/>
    <w:rsid w:val="00924A3F"/>
    <w:rsid w:val="009265A5"/>
    <w:rsid w:val="00927F07"/>
    <w:rsid w:val="00930A1F"/>
    <w:rsid w:val="00931473"/>
    <w:rsid w:val="00937E95"/>
    <w:rsid w:val="00940614"/>
    <w:rsid w:val="009418FA"/>
    <w:rsid w:val="00945234"/>
    <w:rsid w:val="0094728A"/>
    <w:rsid w:val="00947AC9"/>
    <w:rsid w:val="00951906"/>
    <w:rsid w:val="009519BB"/>
    <w:rsid w:val="00954662"/>
    <w:rsid w:val="00954B0D"/>
    <w:rsid w:val="00954E9A"/>
    <w:rsid w:val="00955398"/>
    <w:rsid w:val="00955B12"/>
    <w:rsid w:val="009568E4"/>
    <w:rsid w:val="009600B3"/>
    <w:rsid w:val="009612BA"/>
    <w:rsid w:val="00963082"/>
    <w:rsid w:val="00964326"/>
    <w:rsid w:val="00965199"/>
    <w:rsid w:val="00965401"/>
    <w:rsid w:val="00970FAE"/>
    <w:rsid w:val="009722E0"/>
    <w:rsid w:val="0097448B"/>
    <w:rsid w:val="009749DA"/>
    <w:rsid w:val="00974B22"/>
    <w:rsid w:val="00976668"/>
    <w:rsid w:val="009772CF"/>
    <w:rsid w:val="00977364"/>
    <w:rsid w:val="00977DD0"/>
    <w:rsid w:val="00980DF0"/>
    <w:rsid w:val="00980EA4"/>
    <w:rsid w:val="009814F8"/>
    <w:rsid w:val="00982885"/>
    <w:rsid w:val="009843F4"/>
    <w:rsid w:val="00986C20"/>
    <w:rsid w:val="0098713D"/>
    <w:rsid w:val="009910F9"/>
    <w:rsid w:val="00992629"/>
    <w:rsid w:val="00994104"/>
    <w:rsid w:val="00996518"/>
    <w:rsid w:val="00996540"/>
    <w:rsid w:val="009972B2"/>
    <w:rsid w:val="009A0554"/>
    <w:rsid w:val="009A0A8E"/>
    <w:rsid w:val="009A1E12"/>
    <w:rsid w:val="009A41E9"/>
    <w:rsid w:val="009A533B"/>
    <w:rsid w:val="009A5BE4"/>
    <w:rsid w:val="009A5C75"/>
    <w:rsid w:val="009A6257"/>
    <w:rsid w:val="009B153C"/>
    <w:rsid w:val="009B1AA4"/>
    <w:rsid w:val="009B452F"/>
    <w:rsid w:val="009B4C81"/>
    <w:rsid w:val="009B4CF7"/>
    <w:rsid w:val="009B4E64"/>
    <w:rsid w:val="009B69F8"/>
    <w:rsid w:val="009B704B"/>
    <w:rsid w:val="009B7C35"/>
    <w:rsid w:val="009C0508"/>
    <w:rsid w:val="009C1A90"/>
    <w:rsid w:val="009C3408"/>
    <w:rsid w:val="009C6418"/>
    <w:rsid w:val="009C7489"/>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2A9"/>
    <w:rsid w:val="009F6881"/>
    <w:rsid w:val="009F7081"/>
    <w:rsid w:val="00A00F49"/>
    <w:rsid w:val="00A0202F"/>
    <w:rsid w:val="00A045A0"/>
    <w:rsid w:val="00A0461A"/>
    <w:rsid w:val="00A058E1"/>
    <w:rsid w:val="00A06F1A"/>
    <w:rsid w:val="00A104D5"/>
    <w:rsid w:val="00A1086F"/>
    <w:rsid w:val="00A11C77"/>
    <w:rsid w:val="00A12CE9"/>
    <w:rsid w:val="00A1411F"/>
    <w:rsid w:val="00A1423E"/>
    <w:rsid w:val="00A14F1F"/>
    <w:rsid w:val="00A15B50"/>
    <w:rsid w:val="00A15F24"/>
    <w:rsid w:val="00A1697C"/>
    <w:rsid w:val="00A179D5"/>
    <w:rsid w:val="00A20156"/>
    <w:rsid w:val="00A20AB7"/>
    <w:rsid w:val="00A21124"/>
    <w:rsid w:val="00A234AA"/>
    <w:rsid w:val="00A36499"/>
    <w:rsid w:val="00A418D5"/>
    <w:rsid w:val="00A434A3"/>
    <w:rsid w:val="00A43B3D"/>
    <w:rsid w:val="00A4420C"/>
    <w:rsid w:val="00A476F4"/>
    <w:rsid w:val="00A47933"/>
    <w:rsid w:val="00A50177"/>
    <w:rsid w:val="00A52050"/>
    <w:rsid w:val="00A57912"/>
    <w:rsid w:val="00A6033E"/>
    <w:rsid w:val="00A61AFA"/>
    <w:rsid w:val="00A61CA0"/>
    <w:rsid w:val="00A61D3C"/>
    <w:rsid w:val="00A63AE0"/>
    <w:rsid w:val="00A64B23"/>
    <w:rsid w:val="00A659BC"/>
    <w:rsid w:val="00A6723B"/>
    <w:rsid w:val="00A72302"/>
    <w:rsid w:val="00A72B78"/>
    <w:rsid w:val="00A740E2"/>
    <w:rsid w:val="00A74FA5"/>
    <w:rsid w:val="00A76CEC"/>
    <w:rsid w:val="00A77127"/>
    <w:rsid w:val="00A818C2"/>
    <w:rsid w:val="00A848AA"/>
    <w:rsid w:val="00A9351F"/>
    <w:rsid w:val="00A95910"/>
    <w:rsid w:val="00A96267"/>
    <w:rsid w:val="00A97563"/>
    <w:rsid w:val="00A97C09"/>
    <w:rsid w:val="00AA1703"/>
    <w:rsid w:val="00AA2070"/>
    <w:rsid w:val="00AA3B5A"/>
    <w:rsid w:val="00AA4164"/>
    <w:rsid w:val="00AA41BB"/>
    <w:rsid w:val="00AA4FA0"/>
    <w:rsid w:val="00AB0D98"/>
    <w:rsid w:val="00AB3238"/>
    <w:rsid w:val="00AB3E1F"/>
    <w:rsid w:val="00AB4490"/>
    <w:rsid w:val="00AB4FDB"/>
    <w:rsid w:val="00AB54BE"/>
    <w:rsid w:val="00AB5FC5"/>
    <w:rsid w:val="00AC06DB"/>
    <w:rsid w:val="00AC11DC"/>
    <w:rsid w:val="00AC5862"/>
    <w:rsid w:val="00AC5BBE"/>
    <w:rsid w:val="00AC5C5C"/>
    <w:rsid w:val="00AD5174"/>
    <w:rsid w:val="00AD52E5"/>
    <w:rsid w:val="00AD5DE5"/>
    <w:rsid w:val="00AD6D79"/>
    <w:rsid w:val="00AE0124"/>
    <w:rsid w:val="00AE0262"/>
    <w:rsid w:val="00AE0768"/>
    <w:rsid w:val="00AE194A"/>
    <w:rsid w:val="00AE1B66"/>
    <w:rsid w:val="00AE31ED"/>
    <w:rsid w:val="00AE742F"/>
    <w:rsid w:val="00AF0228"/>
    <w:rsid w:val="00AF062C"/>
    <w:rsid w:val="00AF1DAD"/>
    <w:rsid w:val="00AF58F0"/>
    <w:rsid w:val="00AF7609"/>
    <w:rsid w:val="00B02B69"/>
    <w:rsid w:val="00B03D5E"/>
    <w:rsid w:val="00B03E3F"/>
    <w:rsid w:val="00B06404"/>
    <w:rsid w:val="00B06BFF"/>
    <w:rsid w:val="00B1134D"/>
    <w:rsid w:val="00B13239"/>
    <w:rsid w:val="00B149E7"/>
    <w:rsid w:val="00B15843"/>
    <w:rsid w:val="00B24299"/>
    <w:rsid w:val="00B26583"/>
    <w:rsid w:val="00B26EFE"/>
    <w:rsid w:val="00B30276"/>
    <w:rsid w:val="00B30D10"/>
    <w:rsid w:val="00B31DE2"/>
    <w:rsid w:val="00B31E24"/>
    <w:rsid w:val="00B34232"/>
    <w:rsid w:val="00B3606D"/>
    <w:rsid w:val="00B400F2"/>
    <w:rsid w:val="00B40D8E"/>
    <w:rsid w:val="00B42661"/>
    <w:rsid w:val="00B4303D"/>
    <w:rsid w:val="00B44C06"/>
    <w:rsid w:val="00B44EEF"/>
    <w:rsid w:val="00B515E1"/>
    <w:rsid w:val="00B52FB8"/>
    <w:rsid w:val="00B56F4F"/>
    <w:rsid w:val="00B573C3"/>
    <w:rsid w:val="00B575A4"/>
    <w:rsid w:val="00B57A5A"/>
    <w:rsid w:val="00B608B2"/>
    <w:rsid w:val="00B60EA4"/>
    <w:rsid w:val="00B6251E"/>
    <w:rsid w:val="00B6273F"/>
    <w:rsid w:val="00B62973"/>
    <w:rsid w:val="00B657BD"/>
    <w:rsid w:val="00B66ACE"/>
    <w:rsid w:val="00B67F62"/>
    <w:rsid w:val="00B71A1E"/>
    <w:rsid w:val="00B778E9"/>
    <w:rsid w:val="00B8066C"/>
    <w:rsid w:val="00B840DC"/>
    <w:rsid w:val="00B84CD4"/>
    <w:rsid w:val="00B853F3"/>
    <w:rsid w:val="00B85A49"/>
    <w:rsid w:val="00B85BE2"/>
    <w:rsid w:val="00B92495"/>
    <w:rsid w:val="00B95F21"/>
    <w:rsid w:val="00B96A80"/>
    <w:rsid w:val="00BA18E6"/>
    <w:rsid w:val="00BA2718"/>
    <w:rsid w:val="00BA4E2D"/>
    <w:rsid w:val="00BA5510"/>
    <w:rsid w:val="00BA5CE3"/>
    <w:rsid w:val="00BA6C93"/>
    <w:rsid w:val="00BA6EAA"/>
    <w:rsid w:val="00BA7824"/>
    <w:rsid w:val="00BA7945"/>
    <w:rsid w:val="00BB4F72"/>
    <w:rsid w:val="00BB51C6"/>
    <w:rsid w:val="00BB7927"/>
    <w:rsid w:val="00BC0481"/>
    <w:rsid w:val="00BC064C"/>
    <w:rsid w:val="00BC0B5F"/>
    <w:rsid w:val="00BC0DC9"/>
    <w:rsid w:val="00BC128B"/>
    <w:rsid w:val="00BC5113"/>
    <w:rsid w:val="00BC645C"/>
    <w:rsid w:val="00BD0224"/>
    <w:rsid w:val="00BD0650"/>
    <w:rsid w:val="00BD1557"/>
    <w:rsid w:val="00BD1567"/>
    <w:rsid w:val="00BD5BC8"/>
    <w:rsid w:val="00BD5C5A"/>
    <w:rsid w:val="00BD70A9"/>
    <w:rsid w:val="00BE398E"/>
    <w:rsid w:val="00BE3A6E"/>
    <w:rsid w:val="00BE3F86"/>
    <w:rsid w:val="00BE7C82"/>
    <w:rsid w:val="00BE7D26"/>
    <w:rsid w:val="00BF0A36"/>
    <w:rsid w:val="00BF19F1"/>
    <w:rsid w:val="00BF22A6"/>
    <w:rsid w:val="00BF3B51"/>
    <w:rsid w:val="00C00C59"/>
    <w:rsid w:val="00C01279"/>
    <w:rsid w:val="00C02C3E"/>
    <w:rsid w:val="00C04880"/>
    <w:rsid w:val="00C04A78"/>
    <w:rsid w:val="00C052DE"/>
    <w:rsid w:val="00C07B1D"/>
    <w:rsid w:val="00C10D21"/>
    <w:rsid w:val="00C10E2B"/>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506B0"/>
    <w:rsid w:val="00C53AD6"/>
    <w:rsid w:val="00C56235"/>
    <w:rsid w:val="00C5784B"/>
    <w:rsid w:val="00C57E60"/>
    <w:rsid w:val="00C6081F"/>
    <w:rsid w:val="00C60D6D"/>
    <w:rsid w:val="00C63BBB"/>
    <w:rsid w:val="00C6434C"/>
    <w:rsid w:val="00C6452A"/>
    <w:rsid w:val="00C665B8"/>
    <w:rsid w:val="00C707ED"/>
    <w:rsid w:val="00C70C91"/>
    <w:rsid w:val="00C7345B"/>
    <w:rsid w:val="00C74F00"/>
    <w:rsid w:val="00C800D1"/>
    <w:rsid w:val="00C827E2"/>
    <w:rsid w:val="00C83D43"/>
    <w:rsid w:val="00C84748"/>
    <w:rsid w:val="00C84EC9"/>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B51BC"/>
    <w:rsid w:val="00CC0108"/>
    <w:rsid w:val="00CC0FF3"/>
    <w:rsid w:val="00CC2937"/>
    <w:rsid w:val="00CC31A0"/>
    <w:rsid w:val="00CC4859"/>
    <w:rsid w:val="00CC5E7C"/>
    <w:rsid w:val="00CD04A2"/>
    <w:rsid w:val="00CD0790"/>
    <w:rsid w:val="00CD25AE"/>
    <w:rsid w:val="00CD2666"/>
    <w:rsid w:val="00CD48FF"/>
    <w:rsid w:val="00CD53FC"/>
    <w:rsid w:val="00CD5BEA"/>
    <w:rsid w:val="00CD5EB2"/>
    <w:rsid w:val="00CD7AFD"/>
    <w:rsid w:val="00CE1764"/>
    <w:rsid w:val="00CE3202"/>
    <w:rsid w:val="00CE39A6"/>
    <w:rsid w:val="00CE4472"/>
    <w:rsid w:val="00CE4EC1"/>
    <w:rsid w:val="00CE6881"/>
    <w:rsid w:val="00CE78EC"/>
    <w:rsid w:val="00CE7A70"/>
    <w:rsid w:val="00CF012B"/>
    <w:rsid w:val="00CF10E9"/>
    <w:rsid w:val="00CF4C50"/>
    <w:rsid w:val="00CF5BA1"/>
    <w:rsid w:val="00CF6CE6"/>
    <w:rsid w:val="00CF6DC9"/>
    <w:rsid w:val="00CF70C6"/>
    <w:rsid w:val="00D025EC"/>
    <w:rsid w:val="00D054D9"/>
    <w:rsid w:val="00D0766E"/>
    <w:rsid w:val="00D105F9"/>
    <w:rsid w:val="00D10B9F"/>
    <w:rsid w:val="00D115A3"/>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348D5"/>
    <w:rsid w:val="00D466E9"/>
    <w:rsid w:val="00D4754E"/>
    <w:rsid w:val="00D50723"/>
    <w:rsid w:val="00D5144A"/>
    <w:rsid w:val="00D51DC9"/>
    <w:rsid w:val="00D527F2"/>
    <w:rsid w:val="00D5303A"/>
    <w:rsid w:val="00D55B28"/>
    <w:rsid w:val="00D609B8"/>
    <w:rsid w:val="00D61738"/>
    <w:rsid w:val="00D61BDF"/>
    <w:rsid w:val="00D622FD"/>
    <w:rsid w:val="00D63223"/>
    <w:rsid w:val="00D63982"/>
    <w:rsid w:val="00D6769D"/>
    <w:rsid w:val="00D71190"/>
    <w:rsid w:val="00D73AEC"/>
    <w:rsid w:val="00D73B2A"/>
    <w:rsid w:val="00D7481A"/>
    <w:rsid w:val="00D76060"/>
    <w:rsid w:val="00D7608A"/>
    <w:rsid w:val="00D81DC8"/>
    <w:rsid w:val="00D82730"/>
    <w:rsid w:val="00D8340D"/>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6F75"/>
    <w:rsid w:val="00DB14C1"/>
    <w:rsid w:val="00DB1810"/>
    <w:rsid w:val="00DB2271"/>
    <w:rsid w:val="00DB2407"/>
    <w:rsid w:val="00DB2A30"/>
    <w:rsid w:val="00DB2B05"/>
    <w:rsid w:val="00DB3560"/>
    <w:rsid w:val="00DC1805"/>
    <w:rsid w:val="00DC1E3E"/>
    <w:rsid w:val="00DC1EE9"/>
    <w:rsid w:val="00DC3769"/>
    <w:rsid w:val="00DC6179"/>
    <w:rsid w:val="00DC621A"/>
    <w:rsid w:val="00DC6E06"/>
    <w:rsid w:val="00DD07B5"/>
    <w:rsid w:val="00DD0B09"/>
    <w:rsid w:val="00DD1A64"/>
    <w:rsid w:val="00DD2716"/>
    <w:rsid w:val="00DD28D4"/>
    <w:rsid w:val="00DD3AA6"/>
    <w:rsid w:val="00DD638D"/>
    <w:rsid w:val="00DD7964"/>
    <w:rsid w:val="00DD7B32"/>
    <w:rsid w:val="00DE340F"/>
    <w:rsid w:val="00DE4991"/>
    <w:rsid w:val="00DE49C6"/>
    <w:rsid w:val="00DE6019"/>
    <w:rsid w:val="00DE6ADD"/>
    <w:rsid w:val="00DE6D31"/>
    <w:rsid w:val="00DF10D2"/>
    <w:rsid w:val="00DF5A55"/>
    <w:rsid w:val="00DF5CAD"/>
    <w:rsid w:val="00DF6943"/>
    <w:rsid w:val="00DF737B"/>
    <w:rsid w:val="00E01219"/>
    <w:rsid w:val="00E04D83"/>
    <w:rsid w:val="00E1061B"/>
    <w:rsid w:val="00E12304"/>
    <w:rsid w:val="00E149DA"/>
    <w:rsid w:val="00E15327"/>
    <w:rsid w:val="00E15F6D"/>
    <w:rsid w:val="00E1616A"/>
    <w:rsid w:val="00E2407A"/>
    <w:rsid w:val="00E26A53"/>
    <w:rsid w:val="00E32933"/>
    <w:rsid w:val="00E32E22"/>
    <w:rsid w:val="00E32E57"/>
    <w:rsid w:val="00E3361A"/>
    <w:rsid w:val="00E33964"/>
    <w:rsid w:val="00E4009A"/>
    <w:rsid w:val="00E40673"/>
    <w:rsid w:val="00E40E8F"/>
    <w:rsid w:val="00E4128C"/>
    <w:rsid w:val="00E41564"/>
    <w:rsid w:val="00E42490"/>
    <w:rsid w:val="00E43DEC"/>
    <w:rsid w:val="00E445AF"/>
    <w:rsid w:val="00E4515B"/>
    <w:rsid w:val="00E451BD"/>
    <w:rsid w:val="00E45489"/>
    <w:rsid w:val="00E46B4A"/>
    <w:rsid w:val="00E50A33"/>
    <w:rsid w:val="00E50DA4"/>
    <w:rsid w:val="00E513B1"/>
    <w:rsid w:val="00E515A6"/>
    <w:rsid w:val="00E51F94"/>
    <w:rsid w:val="00E536FD"/>
    <w:rsid w:val="00E53815"/>
    <w:rsid w:val="00E53FFD"/>
    <w:rsid w:val="00E543A6"/>
    <w:rsid w:val="00E549E0"/>
    <w:rsid w:val="00E54C70"/>
    <w:rsid w:val="00E579E7"/>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057"/>
    <w:rsid w:val="00E97683"/>
    <w:rsid w:val="00EA68F4"/>
    <w:rsid w:val="00EA74A1"/>
    <w:rsid w:val="00EB248E"/>
    <w:rsid w:val="00EB2B35"/>
    <w:rsid w:val="00EB393B"/>
    <w:rsid w:val="00EB3AF3"/>
    <w:rsid w:val="00EB62F2"/>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5363"/>
    <w:rsid w:val="00EE6007"/>
    <w:rsid w:val="00EF2741"/>
    <w:rsid w:val="00EF5246"/>
    <w:rsid w:val="00EF63E7"/>
    <w:rsid w:val="00EF6708"/>
    <w:rsid w:val="00EF686E"/>
    <w:rsid w:val="00EF6CFE"/>
    <w:rsid w:val="00EF7B4F"/>
    <w:rsid w:val="00F00043"/>
    <w:rsid w:val="00F01371"/>
    <w:rsid w:val="00F024CF"/>
    <w:rsid w:val="00F02A48"/>
    <w:rsid w:val="00F0529A"/>
    <w:rsid w:val="00F05C88"/>
    <w:rsid w:val="00F06197"/>
    <w:rsid w:val="00F0627A"/>
    <w:rsid w:val="00F06CEB"/>
    <w:rsid w:val="00F100B9"/>
    <w:rsid w:val="00F13677"/>
    <w:rsid w:val="00F136FB"/>
    <w:rsid w:val="00F140BE"/>
    <w:rsid w:val="00F14FB4"/>
    <w:rsid w:val="00F17569"/>
    <w:rsid w:val="00F17790"/>
    <w:rsid w:val="00F1783A"/>
    <w:rsid w:val="00F17F0E"/>
    <w:rsid w:val="00F2173F"/>
    <w:rsid w:val="00F22C88"/>
    <w:rsid w:val="00F23235"/>
    <w:rsid w:val="00F2634A"/>
    <w:rsid w:val="00F26A6B"/>
    <w:rsid w:val="00F300BB"/>
    <w:rsid w:val="00F32BA1"/>
    <w:rsid w:val="00F3368D"/>
    <w:rsid w:val="00F33A38"/>
    <w:rsid w:val="00F33BBF"/>
    <w:rsid w:val="00F34AE9"/>
    <w:rsid w:val="00F358BC"/>
    <w:rsid w:val="00F3596D"/>
    <w:rsid w:val="00F3601B"/>
    <w:rsid w:val="00F41034"/>
    <w:rsid w:val="00F45C2B"/>
    <w:rsid w:val="00F469B6"/>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67EAE"/>
    <w:rsid w:val="00F71975"/>
    <w:rsid w:val="00F7305E"/>
    <w:rsid w:val="00F74868"/>
    <w:rsid w:val="00F75054"/>
    <w:rsid w:val="00F7635D"/>
    <w:rsid w:val="00F764A6"/>
    <w:rsid w:val="00F764FA"/>
    <w:rsid w:val="00F768E7"/>
    <w:rsid w:val="00F76E67"/>
    <w:rsid w:val="00F80382"/>
    <w:rsid w:val="00F80440"/>
    <w:rsid w:val="00F81944"/>
    <w:rsid w:val="00F85333"/>
    <w:rsid w:val="00F856CF"/>
    <w:rsid w:val="00F90B49"/>
    <w:rsid w:val="00F912D2"/>
    <w:rsid w:val="00F93285"/>
    <w:rsid w:val="00F9463F"/>
    <w:rsid w:val="00F976CC"/>
    <w:rsid w:val="00F97AF8"/>
    <w:rsid w:val="00FA2261"/>
    <w:rsid w:val="00FA3EFF"/>
    <w:rsid w:val="00FA4445"/>
    <w:rsid w:val="00FA6D87"/>
    <w:rsid w:val="00FA7FD3"/>
    <w:rsid w:val="00FB0D2A"/>
    <w:rsid w:val="00FB0DA5"/>
    <w:rsid w:val="00FB2056"/>
    <w:rsid w:val="00FB36DC"/>
    <w:rsid w:val="00FC0A01"/>
    <w:rsid w:val="00FC19DD"/>
    <w:rsid w:val="00FC7076"/>
    <w:rsid w:val="00FC7E61"/>
    <w:rsid w:val="00FD21D7"/>
    <w:rsid w:val="00FD3588"/>
    <w:rsid w:val="00FD3A45"/>
    <w:rsid w:val="00FD638D"/>
    <w:rsid w:val="00FE0BAF"/>
    <w:rsid w:val="00FE0D80"/>
    <w:rsid w:val="00FE140D"/>
    <w:rsid w:val="00FE49E4"/>
    <w:rsid w:val="00FE564B"/>
    <w:rsid w:val="00FE5C08"/>
    <w:rsid w:val="00FF3EFF"/>
    <w:rsid w:val="00FF4C79"/>
    <w:rsid w:val="00FF5DA8"/>
    <w:rsid w:val="00FF7BEC"/>
    <w:rsid w:val="010806A2"/>
    <w:rsid w:val="01813921"/>
    <w:rsid w:val="05EA70BC"/>
    <w:rsid w:val="060A2773"/>
    <w:rsid w:val="06111368"/>
    <w:rsid w:val="07686159"/>
    <w:rsid w:val="0B2445EF"/>
    <w:rsid w:val="0B6D4135"/>
    <w:rsid w:val="18E52FFC"/>
    <w:rsid w:val="19105356"/>
    <w:rsid w:val="1959584F"/>
    <w:rsid w:val="1D31661A"/>
    <w:rsid w:val="1F494926"/>
    <w:rsid w:val="246E3ABB"/>
    <w:rsid w:val="24AC52E4"/>
    <w:rsid w:val="24B01B8D"/>
    <w:rsid w:val="26D60A01"/>
    <w:rsid w:val="27B647F2"/>
    <w:rsid w:val="2DF0076A"/>
    <w:rsid w:val="2F491B24"/>
    <w:rsid w:val="30597E68"/>
    <w:rsid w:val="33DA1595"/>
    <w:rsid w:val="37390CD0"/>
    <w:rsid w:val="3B6951FC"/>
    <w:rsid w:val="3D9F136D"/>
    <w:rsid w:val="40921A19"/>
    <w:rsid w:val="418C0486"/>
    <w:rsid w:val="42093EA1"/>
    <w:rsid w:val="45AD7316"/>
    <w:rsid w:val="462F765E"/>
    <w:rsid w:val="46360C4D"/>
    <w:rsid w:val="503A1B36"/>
    <w:rsid w:val="51321B30"/>
    <w:rsid w:val="53854B7B"/>
    <w:rsid w:val="58D16801"/>
    <w:rsid w:val="597226E8"/>
    <w:rsid w:val="666B10DB"/>
    <w:rsid w:val="668E7BC8"/>
    <w:rsid w:val="67896D90"/>
    <w:rsid w:val="69AD22AB"/>
    <w:rsid w:val="69DB08C4"/>
    <w:rsid w:val="6B2B4E19"/>
    <w:rsid w:val="6BE801F2"/>
    <w:rsid w:val="6BEB6297"/>
    <w:rsid w:val="6DB761CC"/>
    <w:rsid w:val="7017322C"/>
    <w:rsid w:val="71C7739B"/>
    <w:rsid w:val="72D751B1"/>
    <w:rsid w:val="741A1970"/>
    <w:rsid w:val="755B2606"/>
    <w:rsid w:val="76706E31"/>
    <w:rsid w:val="7896701D"/>
    <w:rsid w:val="7CF23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3">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6">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7">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8">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9">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0">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宋体" w:hAnsi="宋体" w:eastAsia="宋体" w:cs="宋体"/>
      <w:sz w:val="21"/>
      <w:lang w:val="en-US" w:eastAsia="zh-CN" w:bidi="ar-SA"/>
    </w:rPr>
  </w:style>
  <w:style w:type="paragraph" w:styleId="12">
    <w:name w:val="Normal Indent"/>
    <w:next w:val="1"/>
    <w:qFormat/>
    <w:uiPriority w:val="0"/>
    <w:pPr>
      <w:wordWrap w:val="0"/>
      <w:ind w:left="3400"/>
      <w:jc w:val="both"/>
    </w:pPr>
    <w:rPr>
      <w:rFonts w:ascii="宋体" w:hAnsi="宋体" w:eastAsia="宋体" w:cs="宋体"/>
      <w:sz w:val="21"/>
      <w:lang w:val="en-US" w:eastAsia="zh-CN" w:bidi="ar-SA"/>
    </w:rPr>
  </w:style>
  <w:style w:type="paragraph" w:styleId="13">
    <w:name w:val="Body Text"/>
    <w:basedOn w:val="1"/>
    <w:next w:val="1"/>
    <w:qFormat/>
    <w:uiPriority w:val="0"/>
    <w:rPr>
      <w:rFonts w:ascii="宋体"/>
      <w:sz w:val="28"/>
    </w:rPr>
  </w:style>
  <w:style w:type="paragraph" w:styleId="14">
    <w:name w:val="Body Text Indent"/>
    <w:basedOn w:val="1"/>
    <w:next w:val="15"/>
    <w:link w:val="36"/>
    <w:qFormat/>
    <w:uiPriority w:val="0"/>
    <w:pPr>
      <w:spacing w:line="300" w:lineRule="auto"/>
      <w:ind w:firstLine="560"/>
    </w:pPr>
    <w:rPr>
      <w:rFonts w:ascii="宋体"/>
      <w:sz w:val="28"/>
    </w:rPr>
  </w:style>
  <w:style w:type="paragraph" w:styleId="15">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16">
    <w:name w:val="toc 5"/>
    <w:next w:val="1"/>
    <w:qFormat/>
    <w:uiPriority w:val="0"/>
    <w:pPr>
      <w:wordWrap w:val="0"/>
      <w:ind w:left="1275"/>
      <w:jc w:val="both"/>
    </w:pPr>
    <w:rPr>
      <w:rFonts w:ascii="宋体" w:hAnsi="宋体" w:eastAsia="宋体" w:cs="宋体"/>
      <w:sz w:val="21"/>
      <w:lang w:val="en-US" w:eastAsia="zh-CN" w:bidi="ar-SA"/>
    </w:rPr>
  </w:style>
  <w:style w:type="paragraph" w:styleId="17">
    <w:name w:val="toc 3"/>
    <w:next w:val="1"/>
    <w:qFormat/>
    <w:uiPriority w:val="0"/>
    <w:pPr>
      <w:wordWrap w:val="0"/>
      <w:ind w:left="425"/>
      <w:jc w:val="both"/>
    </w:pPr>
    <w:rPr>
      <w:rFonts w:ascii="宋体" w:hAnsi="宋体" w:eastAsia="宋体" w:cs="宋体"/>
      <w:sz w:val="21"/>
      <w:lang w:val="en-US" w:eastAsia="zh-CN" w:bidi="ar-SA"/>
    </w:rPr>
  </w:style>
  <w:style w:type="paragraph" w:styleId="18">
    <w:name w:val="toc 8"/>
    <w:next w:val="1"/>
    <w:qFormat/>
    <w:uiPriority w:val="0"/>
    <w:pPr>
      <w:wordWrap w:val="0"/>
      <w:ind w:left="2550"/>
      <w:jc w:val="both"/>
    </w:pPr>
    <w:rPr>
      <w:rFonts w:ascii="宋体" w:hAnsi="宋体" w:eastAsia="宋体" w:cs="宋体"/>
      <w:sz w:val="21"/>
      <w:lang w:val="en-US" w:eastAsia="zh-CN" w:bidi="ar-SA"/>
    </w:rPr>
  </w:style>
  <w:style w:type="paragraph" w:styleId="19">
    <w:name w:val="Date"/>
    <w:basedOn w:val="1"/>
    <w:next w:val="1"/>
    <w:qFormat/>
    <w:uiPriority w:val="0"/>
    <w:pPr>
      <w:ind w:left="100"/>
    </w:pPr>
  </w:style>
  <w:style w:type="paragraph" w:styleId="20">
    <w:name w:val="Body Text Indent 2"/>
    <w:basedOn w:val="1"/>
    <w:next w:val="1"/>
    <w:qFormat/>
    <w:uiPriority w:val="0"/>
    <w:pPr>
      <w:spacing w:line="360" w:lineRule="auto"/>
      <w:ind w:firstLine="549"/>
      <w:outlineLvl w:val="0"/>
    </w:pPr>
    <w:rPr>
      <w:sz w:val="28"/>
    </w:rPr>
  </w:style>
  <w:style w:type="paragraph" w:styleId="21">
    <w:name w:val="Balloon Text"/>
    <w:basedOn w:val="1"/>
    <w:next w:val="1"/>
    <w:qFormat/>
    <w:uiPriority w:val="0"/>
    <w:rPr>
      <w:sz w:val="18"/>
    </w:rPr>
  </w:style>
  <w:style w:type="paragraph" w:styleId="22">
    <w:name w:val="footer"/>
    <w:basedOn w:val="1"/>
    <w:next w:val="23"/>
    <w:qFormat/>
    <w:uiPriority w:val="0"/>
    <w:rPr>
      <w:sz w:val="18"/>
    </w:rPr>
  </w:style>
  <w:style w:type="paragraph" w:styleId="23">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24">
    <w:name w:val="header"/>
    <w:basedOn w:val="1"/>
    <w:next w:val="1"/>
    <w:qFormat/>
    <w:uiPriority w:val="0"/>
    <w:pPr>
      <w:jc w:val="center"/>
    </w:pPr>
    <w:rPr>
      <w:sz w:val="18"/>
    </w:rPr>
  </w:style>
  <w:style w:type="paragraph" w:styleId="25">
    <w:name w:val="toc 4"/>
    <w:next w:val="1"/>
    <w:qFormat/>
    <w:uiPriority w:val="0"/>
    <w:pPr>
      <w:wordWrap w:val="0"/>
      <w:ind w:left="850"/>
      <w:jc w:val="both"/>
    </w:pPr>
    <w:rPr>
      <w:rFonts w:ascii="宋体" w:hAnsi="宋体" w:eastAsia="宋体" w:cs="宋体"/>
      <w:sz w:val="21"/>
      <w:lang w:val="en-US" w:eastAsia="zh-CN" w:bidi="ar-SA"/>
    </w:rPr>
  </w:style>
  <w:style w:type="paragraph" w:styleId="26">
    <w:name w:val="Subtitle"/>
    <w:next w:val="1"/>
    <w:qFormat/>
    <w:uiPriority w:val="0"/>
    <w:pPr>
      <w:wordWrap w:val="0"/>
      <w:spacing w:after="60"/>
      <w:jc w:val="center"/>
    </w:pPr>
    <w:rPr>
      <w:rFonts w:ascii="宋体" w:hAnsi="宋体" w:eastAsia="宋体" w:cs="宋体"/>
      <w:sz w:val="24"/>
      <w:lang w:val="en-US" w:eastAsia="zh-CN" w:bidi="ar-SA"/>
    </w:rPr>
  </w:style>
  <w:style w:type="paragraph" w:styleId="27">
    <w:name w:val="toc 6"/>
    <w:next w:val="1"/>
    <w:qFormat/>
    <w:uiPriority w:val="0"/>
    <w:pPr>
      <w:wordWrap w:val="0"/>
      <w:ind w:left="1700"/>
      <w:jc w:val="both"/>
    </w:pPr>
    <w:rPr>
      <w:rFonts w:ascii="宋体" w:hAnsi="宋体" w:eastAsia="宋体" w:cs="宋体"/>
      <w:sz w:val="21"/>
      <w:lang w:val="en-US" w:eastAsia="zh-CN" w:bidi="ar-SA"/>
    </w:rPr>
  </w:style>
  <w:style w:type="paragraph" w:styleId="28">
    <w:name w:val="Body Text Indent 3"/>
    <w:basedOn w:val="1"/>
    <w:next w:val="1"/>
    <w:qFormat/>
    <w:uiPriority w:val="0"/>
    <w:pPr>
      <w:spacing w:line="360" w:lineRule="auto"/>
      <w:ind w:firstLine="480"/>
      <w:outlineLvl w:val="0"/>
    </w:pPr>
    <w:rPr>
      <w:rFonts w:ascii="宋体"/>
      <w:sz w:val="24"/>
    </w:rPr>
  </w:style>
  <w:style w:type="paragraph" w:styleId="29">
    <w:name w:val="toc 2"/>
    <w:next w:val="1"/>
    <w:qFormat/>
    <w:uiPriority w:val="0"/>
    <w:pPr>
      <w:wordWrap w:val="0"/>
      <w:jc w:val="both"/>
    </w:pPr>
    <w:rPr>
      <w:rFonts w:ascii="宋体" w:hAnsi="宋体" w:eastAsia="宋体" w:cs="宋体"/>
      <w:sz w:val="21"/>
      <w:lang w:val="en-US" w:eastAsia="zh-CN" w:bidi="ar-SA"/>
    </w:rPr>
  </w:style>
  <w:style w:type="paragraph" w:styleId="30">
    <w:name w:val="toc 9"/>
    <w:next w:val="1"/>
    <w:qFormat/>
    <w:uiPriority w:val="0"/>
    <w:pPr>
      <w:wordWrap w:val="0"/>
      <w:ind w:left="2975"/>
      <w:jc w:val="both"/>
    </w:pPr>
    <w:rPr>
      <w:rFonts w:ascii="宋体" w:hAnsi="宋体" w:eastAsia="宋体" w:cs="宋体"/>
      <w:sz w:val="21"/>
      <w:lang w:val="en-US" w:eastAsia="zh-CN" w:bidi="ar-SA"/>
    </w:rPr>
  </w:style>
  <w:style w:type="character" w:styleId="33">
    <w:name w:val="Strong"/>
    <w:qFormat/>
    <w:uiPriority w:val="0"/>
    <w:rPr>
      <w:b/>
      <w:sz w:val="21"/>
    </w:rPr>
  </w:style>
  <w:style w:type="character" w:styleId="34">
    <w:name w:val="page number"/>
    <w:basedOn w:val="32"/>
    <w:qFormat/>
    <w:uiPriority w:val="0"/>
    <w:rPr>
      <w:sz w:val="20"/>
    </w:rPr>
  </w:style>
  <w:style w:type="character" w:styleId="35">
    <w:name w:val="Emphasis"/>
    <w:qFormat/>
    <w:uiPriority w:val="0"/>
    <w:rPr>
      <w:i/>
      <w:sz w:val="21"/>
    </w:rPr>
  </w:style>
  <w:style w:type="character" w:customStyle="1" w:styleId="36">
    <w:name w:val="正文文本缩进 Char"/>
    <w:basedOn w:val="32"/>
    <w:link w:val="14"/>
    <w:qFormat/>
    <w:uiPriority w:val="0"/>
    <w:rPr>
      <w:sz w:val="28"/>
    </w:rPr>
  </w:style>
  <w:style w:type="character" w:customStyle="1" w:styleId="37">
    <w:name w:val="company-content"/>
    <w:qFormat/>
    <w:uiPriority w:val="0"/>
    <w:rPr>
      <w:sz w:val="24"/>
      <w:szCs w:val="24"/>
    </w:rPr>
  </w:style>
  <w:style w:type="character" w:customStyle="1" w:styleId="38">
    <w:name w:val="明显强调1"/>
    <w:qFormat/>
    <w:uiPriority w:val="0"/>
    <w:rPr>
      <w:i/>
      <w:color w:val="auto"/>
      <w:sz w:val="21"/>
    </w:rPr>
  </w:style>
  <w:style w:type="character" w:customStyle="1" w:styleId="39">
    <w:name w:val="不明显强调1"/>
    <w:qFormat/>
    <w:uiPriority w:val="0"/>
    <w:rPr>
      <w:i/>
      <w:color w:val="auto"/>
      <w:sz w:val="21"/>
    </w:rPr>
  </w:style>
  <w:style w:type="character" w:customStyle="1" w:styleId="40">
    <w:name w:val="不明显参考1"/>
    <w:qFormat/>
    <w:uiPriority w:val="0"/>
    <w:rPr>
      <w:color w:val="auto"/>
      <w:sz w:val="21"/>
    </w:rPr>
  </w:style>
  <w:style w:type="character" w:customStyle="1" w:styleId="41">
    <w:name w:val="书籍标题1"/>
    <w:qFormat/>
    <w:uiPriority w:val="0"/>
    <w:rPr>
      <w:b/>
      <w:i/>
      <w:sz w:val="21"/>
    </w:rPr>
  </w:style>
  <w:style w:type="character" w:customStyle="1" w:styleId="42">
    <w:name w:val="明显参考1"/>
    <w:qFormat/>
    <w:uiPriority w:val="0"/>
    <w:rPr>
      <w:b/>
      <w:color w:val="auto"/>
      <w:sz w:val="21"/>
    </w:rPr>
  </w:style>
  <w:style w:type="paragraph" w:styleId="43">
    <w:name w:val="List Paragraph"/>
    <w:next w:val="1"/>
    <w:qFormat/>
    <w:uiPriority w:val="0"/>
    <w:pPr>
      <w:wordWrap w:val="0"/>
      <w:ind w:left="850"/>
      <w:jc w:val="both"/>
    </w:pPr>
    <w:rPr>
      <w:rFonts w:ascii="宋体" w:hAnsi="宋体" w:eastAsia="宋体" w:cs="宋体"/>
      <w:sz w:val="21"/>
      <w:lang w:val="en-US" w:eastAsia="zh-CN" w:bidi="ar-SA"/>
    </w:rPr>
  </w:style>
  <w:style w:type="paragraph" w:customStyle="1" w:styleId="44">
    <w:name w:val="TOC 标题1"/>
    <w:next w:val="1"/>
    <w:qFormat/>
    <w:uiPriority w:val="0"/>
    <w:pPr>
      <w:wordWrap w:val="0"/>
    </w:pPr>
    <w:rPr>
      <w:rFonts w:ascii="宋体" w:hAnsi="宋体" w:eastAsia="宋体" w:cs="宋体"/>
      <w:sz w:val="32"/>
      <w:lang w:val="en-US" w:eastAsia="zh-CN" w:bidi="ar-SA"/>
    </w:rPr>
  </w:style>
  <w:style w:type="paragraph" w:customStyle="1" w:styleId="45">
    <w:name w:val="Char"/>
    <w:basedOn w:val="1"/>
    <w:next w:val="1"/>
    <w:qFormat/>
    <w:uiPriority w:val="0"/>
    <w:pPr>
      <w:spacing w:line="360" w:lineRule="auto"/>
    </w:pPr>
    <w:rPr>
      <w:rFonts w:ascii="Tahoma"/>
      <w:sz w:val="28"/>
    </w:rPr>
  </w:style>
  <w:style w:type="paragraph" w:customStyle="1" w:styleId="46">
    <w:name w:val="Char Char Char Char Char Char Char Char Char1 Char Char Char Char Char Char Char Char Char Char"/>
    <w:basedOn w:val="1"/>
    <w:semiHidden/>
    <w:qFormat/>
    <w:uiPriority w:val="0"/>
    <w:rPr>
      <w:rFonts w:ascii="宋体" w:cs="Courier New"/>
      <w:kern w:val="2"/>
      <w:sz w:val="32"/>
      <w:szCs w:val="32"/>
    </w:rPr>
  </w:style>
  <w:style w:type="character" w:customStyle="1" w:styleId="47">
    <w:name w:val="样式 zhang正文 + 宋体 小四 Char"/>
    <w:basedOn w:val="32"/>
    <w:link w:val="48"/>
    <w:qFormat/>
    <w:uiPriority w:val="0"/>
    <w:rPr>
      <w:kern w:val="2"/>
      <w:sz w:val="24"/>
      <w:szCs w:val="22"/>
    </w:rPr>
  </w:style>
  <w:style w:type="paragraph" w:customStyle="1" w:styleId="48">
    <w:name w:val="样式 zhang正文 + 宋体 小四"/>
    <w:basedOn w:val="1"/>
    <w:link w:val="47"/>
    <w:qFormat/>
    <w:uiPriority w:val="0"/>
    <w:pPr>
      <w:autoSpaceDE w:val="0"/>
      <w:autoSpaceDN w:val="0"/>
      <w:snapToGrid w:val="0"/>
      <w:spacing w:after="120" w:line="500" w:lineRule="exact"/>
      <w:ind w:left="420" w:leftChars="200" w:firstLine="539"/>
    </w:pPr>
    <w:rPr>
      <w:rFonts w:ascii="宋体"/>
      <w:kern w:val="2"/>
      <w:sz w:val="24"/>
      <w:szCs w:val="22"/>
    </w:rPr>
  </w:style>
  <w:style w:type="paragraph" w:customStyle="1" w:styleId="49">
    <w:name w:val="Char Char Char Char Char Char Char Char Char1 Char"/>
    <w:basedOn w:val="1"/>
    <w:semiHidden/>
    <w:qFormat/>
    <w:uiPriority w:val="0"/>
    <w:rPr>
      <w:rFonts w:ascii="宋体" w:cs="Courier New"/>
      <w:kern w:val="2"/>
      <w:sz w:val="32"/>
      <w:szCs w:val="32"/>
    </w:rPr>
  </w:style>
  <w:style w:type="paragraph" w:customStyle="1" w:styleId="50">
    <w:name w:val="Char Char Char Char Char Char Char Char Char1 Char1"/>
    <w:basedOn w:val="1"/>
    <w:semiHidden/>
    <w:qFormat/>
    <w:uiPriority w:val="0"/>
    <w:rPr>
      <w:rFonts w:ascii="宋体" w:cs="Courier New"/>
      <w:kern w:val="2"/>
      <w:sz w:val="32"/>
      <w:szCs w:val="32"/>
    </w:rPr>
  </w:style>
  <w:style w:type="paragraph" w:customStyle="1" w:styleId="51">
    <w:name w:val="_Style 8"/>
    <w:basedOn w:val="1"/>
    <w:qFormat/>
    <w:uiPriority w:val="0"/>
    <w:rPr>
      <w:rFonts w:hAnsi="Times New Roman" w:cs="Times New Roman"/>
      <w:kern w:val="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Company>
  <Pages>4</Pages>
  <Words>1935</Words>
  <Characters>2126</Characters>
  <Lines>15</Lines>
  <Paragraphs>4</Paragraphs>
  <TotalTime>0</TotalTime>
  <ScaleCrop>false</ScaleCrop>
  <LinksUpToDate>false</LinksUpToDate>
  <CharactersWithSpaces>2192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2023-04-20T06:37:00Z</dcterms:created>
  <dc:creator>创建ISO14000环境管理体系领导小组办公室</dc:creator>
  <cp:lastModifiedBy>黄新炆</cp:lastModifiedBy>
  <cp:lastPrinted>2025-03-09T03:47:00Z</cp:lastPrinted>
  <dcterms:modified xsi:type="dcterms:W3CDTF">2025-04-16T07:46:29Z</dcterms:modified>
  <dc:title>关于刻制“</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A4C97085432D4A3093A053AA2C39B093</vt:lpwstr>
  </property>
  <property fmtid="{D5CDD505-2E9C-101B-9397-08002B2CF9AE}" pid="4" name="KSOTemplateDocerSaveRecord">
    <vt:lpwstr>eyJoZGlkIjoiNWUyNTY0NDkxYTgyZDY0YWQ3OGM2YTU3MzU4MzIwNjEiLCJ1c2VySWQiOiIxNjg2MTEzODYyIn0=</vt:lpwstr>
  </property>
</Properties>
</file>