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E74599">
      <w:pPr>
        <w:spacing w:line="360" w:lineRule="auto"/>
        <w:rPr>
          <w:rFonts w:hAnsi="Times New Roman" w:eastAsia="黑体"/>
          <w:sz w:val="24"/>
          <w:szCs w:val="24"/>
        </w:rPr>
      </w:pPr>
    </w:p>
    <w:p w14:paraId="15D81FFA">
      <w:pPr>
        <w:spacing w:line="360" w:lineRule="auto"/>
        <w:rPr>
          <w:rFonts w:hAnsi="Times New Roman" w:eastAsia="黑体"/>
          <w:sz w:val="24"/>
          <w:szCs w:val="24"/>
        </w:rPr>
      </w:pPr>
    </w:p>
    <w:p w14:paraId="26DADCE2">
      <w:pPr>
        <w:snapToGrid w:val="0"/>
        <w:spacing w:line="180" w:lineRule="auto"/>
        <w:rPr>
          <w:rFonts w:hAnsi="Times New Roman" w:eastAsia="黑体"/>
          <w:sz w:val="24"/>
          <w:szCs w:val="24"/>
        </w:rPr>
      </w:pPr>
    </w:p>
    <w:p w14:paraId="75FF3ED3">
      <w:pPr>
        <w:jc w:val="center"/>
        <w:rPr>
          <w:rFonts w:ascii="宋体" w:hAnsi="Times New Roman"/>
          <w:sz w:val="28"/>
        </w:rPr>
      </w:pPr>
    </w:p>
    <w:p w14:paraId="2107662B">
      <w:pPr>
        <w:snapToGrid w:val="0"/>
        <w:jc w:val="center"/>
        <w:rPr>
          <w:rFonts w:ascii="宋体" w:hAnsi="Times New Roman"/>
          <w:sz w:val="28"/>
        </w:rPr>
      </w:pPr>
      <w:r>
        <w:rPr>
          <w:rFonts w:hint="eastAsia" w:ascii="宋体" w:hAnsi="Times New Roman"/>
          <w:sz w:val="28"/>
        </w:rPr>
        <w:t xml:space="preserve">                                     榕马环评〔</w:t>
      </w:r>
      <w:r>
        <w:rPr>
          <w:rFonts w:ascii="宋体" w:hAnsi="Times New Roman"/>
          <w:sz w:val="28"/>
        </w:rPr>
        <w:t>202</w:t>
      </w:r>
      <w:r>
        <w:rPr>
          <w:rFonts w:hint="eastAsia" w:ascii="宋体" w:hAnsi="Times New Roman"/>
          <w:sz w:val="28"/>
        </w:rPr>
        <w:t>5</w:t>
      </w:r>
      <w:r>
        <w:rPr>
          <w:rFonts w:ascii="宋体" w:hAnsi="Times New Roman"/>
          <w:sz w:val="28"/>
        </w:rPr>
        <w:t>〕</w:t>
      </w:r>
      <w:r>
        <w:rPr>
          <w:rFonts w:hint="eastAsia" w:ascii="宋体" w:hAnsi="Times New Roman"/>
          <w:sz w:val="28"/>
        </w:rPr>
        <w:t>6号</w:t>
      </w:r>
    </w:p>
    <w:p w14:paraId="72E2E517">
      <w:pPr>
        <w:snapToGrid w:val="0"/>
        <w:jc w:val="center"/>
        <w:rPr>
          <w:rFonts w:ascii="宋体" w:hAnsi="Times New Roman"/>
          <w:sz w:val="32"/>
        </w:rPr>
      </w:pPr>
    </w:p>
    <w:p w14:paraId="71851063">
      <w:pPr>
        <w:snapToGrid w:val="0"/>
        <w:jc w:val="center"/>
        <w:rPr>
          <w:rFonts w:ascii="宋体"/>
          <w:b/>
          <w:sz w:val="44"/>
          <w:szCs w:val="44"/>
        </w:rPr>
      </w:pPr>
      <w:r>
        <w:rPr>
          <w:rFonts w:hint="eastAsia" w:ascii="宋体"/>
          <w:b/>
          <w:sz w:val="44"/>
          <w:szCs w:val="44"/>
        </w:rPr>
        <w:t>福州市生态环境局</w:t>
      </w:r>
    </w:p>
    <w:p w14:paraId="1DC52B7D">
      <w:pPr>
        <w:snapToGrid w:val="0"/>
        <w:jc w:val="center"/>
        <w:rPr>
          <w:rFonts w:ascii="宋体"/>
          <w:b/>
          <w:sz w:val="44"/>
          <w:szCs w:val="44"/>
        </w:rPr>
      </w:pPr>
      <w:r>
        <w:rPr>
          <w:rFonts w:hint="eastAsia" w:ascii="宋体"/>
          <w:b/>
          <w:sz w:val="44"/>
          <w:szCs w:val="44"/>
        </w:rPr>
        <w:t>关于华龙智慧（福建）数字科技有限公司</w:t>
      </w:r>
    </w:p>
    <w:p w14:paraId="050ED788">
      <w:pPr>
        <w:snapToGrid w:val="0"/>
        <w:jc w:val="center"/>
        <w:rPr>
          <w:rFonts w:ascii="宋体"/>
          <w:b/>
          <w:sz w:val="44"/>
          <w:szCs w:val="44"/>
        </w:rPr>
      </w:pPr>
      <w:r>
        <w:rPr>
          <w:rFonts w:hint="eastAsia" w:ascii="宋体"/>
          <w:b/>
          <w:sz w:val="44"/>
          <w:szCs w:val="44"/>
        </w:rPr>
        <w:t>华龙智慧危险废物收集贮存项目</w:t>
      </w:r>
    </w:p>
    <w:p w14:paraId="6FF3C44C">
      <w:pPr>
        <w:snapToGrid w:val="0"/>
        <w:jc w:val="center"/>
        <w:rPr>
          <w:rFonts w:ascii="宋体"/>
          <w:b/>
          <w:sz w:val="44"/>
          <w:szCs w:val="44"/>
        </w:rPr>
      </w:pPr>
      <w:r>
        <w:rPr>
          <w:rFonts w:hint="eastAsia" w:ascii="宋体"/>
          <w:b/>
          <w:sz w:val="44"/>
          <w:szCs w:val="44"/>
        </w:rPr>
        <w:t>环境影响报告表的批复</w:t>
      </w:r>
    </w:p>
    <w:p w14:paraId="6A759EAE">
      <w:pPr>
        <w:snapToGrid w:val="0"/>
        <w:jc w:val="center"/>
        <w:rPr>
          <w:rFonts w:ascii="仿宋_GB2312" w:eastAsia="仿宋_GB2312"/>
          <w:b/>
          <w:spacing w:val="-14"/>
          <w:sz w:val="28"/>
        </w:rPr>
      </w:pPr>
    </w:p>
    <w:p w14:paraId="5CD976EE">
      <w:pPr>
        <w:snapToGrid w:val="0"/>
        <w:spacing w:line="300" w:lineRule="auto"/>
        <w:rPr>
          <w:rFonts w:ascii="仿宋" w:hAnsi="仿宋" w:eastAsia="仿宋"/>
          <w:sz w:val="32"/>
          <w:szCs w:val="32"/>
        </w:rPr>
      </w:pPr>
      <w:r>
        <w:rPr>
          <w:rFonts w:hint="eastAsia" w:ascii="仿宋" w:hAnsi="仿宋" w:eastAsia="仿宋"/>
          <w:sz w:val="32"/>
          <w:szCs w:val="32"/>
        </w:rPr>
        <w:t>华龙智慧（福建）数字科技有限公司：</w:t>
      </w:r>
    </w:p>
    <w:p w14:paraId="35DFA2FE">
      <w:pPr>
        <w:snapToGrid w:val="0"/>
        <w:spacing w:line="300" w:lineRule="auto"/>
        <w:ind w:firstLine="645"/>
        <w:jc w:val="left"/>
        <w:rPr>
          <w:rFonts w:ascii="仿宋" w:hAnsi="仿宋" w:eastAsia="仿宋"/>
          <w:sz w:val="32"/>
          <w:szCs w:val="32"/>
        </w:rPr>
      </w:pPr>
      <w:r>
        <w:rPr>
          <w:rFonts w:hint="eastAsia" w:ascii="仿宋" w:hAnsi="仿宋" w:eastAsia="仿宋"/>
          <w:sz w:val="32"/>
          <w:szCs w:val="32"/>
        </w:rPr>
        <w:t>你公司报送的《华龙智慧（福建）数字科技有限公司华龙智慧危险废物收集贮存项目环境影响报告表》（以下简称《报告表》）收悉。根据《中华人民共和国环境影响评价法》第二十二条等</w:t>
      </w:r>
      <w:r>
        <w:rPr>
          <w:rFonts w:ascii="仿宋" w:hAnsi="仿宋" w:eastAsia="仿宋"/>
          <w:sz w:val="32"/>
          <w:szCs w:val="32"/>
        </w:rPr>
        <w:t>规定</w:t>
      </w:r>
      <w:r>
        <w:rPr>
          <w:rFonts w:hint="eastAsia" w:ascii="仿宋" w:hAnsi="仿宋" w:eastAsia="仿宋"/>
          <w:sz w:val="32"/>
          <w:szCs w:val="32"/>
        </w:rPr>
        <w:t>，</w:t>
      </w:r>
      <w:r>
        <w:rPr>
          <w:rFonts w:ascii="仿宋" w:hAnsi="仿宋" w:eastAsia="仿宋"/>
          <w:sz w:val="32"/>
          <w:szCs w:val="32"/>
        </w:rPr>
        <w:t>经审查</w:t>
      </w:r>
      <w:r>
        <w:rPr>
          <w:rFonts w:hint="eastAsia" w:ascii="仿宋" w:hAnsi="仿宋" w:eastAsia="仿宋"/>
          <w:sz w:val="32"/>
          <w:szCs w:val="32"/>
        </w:rPr>
        <w:t>，</w:t>
      </w:r>
      <w:r>
        <w:rPr>
          <w:rFonts w:ascii="仿宋" w:hAnsi="仿宋" w:eastAsia="仿宋"/>
          <w:sz w:val="32"/>
          <w:szCs w:val="32"/>
        </w:rPr>
        <w:t>现批复如下：</w:t>
      </w:r>
    </w:p>
    <w:p w14:paraId="461CFA34">
      <w:pPr>
        <w:adjustRightInd w:val="0"/>
        <w:snapToGrid w:val="0"/>
        <w:spacing w:line="300" w:lineRule="auto"/>
        <w:ind w:firstLine="640" w:firstLineChars="200"/>
        <w:rPr>
          <w:rFonts w:ascii="仿宋" w:hAnsi="仿宋" w:eastAsia="仿宋"/>
          <w:sz w:val="32"/>
          <w:szCs w:val="32"/>
        </w:rPr>
      </w:pPr>
      <w:r>
        <w:rPr>
          <w:rFonts w:hint="eastAsia" w:ascii="仿宋" w:hAnsi="仿宋" w:eastAsia="仿宋"/>
          <w:snapToGrid w:val="0"/>
          <w:sz w:val="32"/>
          <w:szCs w:val="32"/>
        </w:rPr>
        <w:t>一、</w:t>
      </w:r>
      <w:r>
        <w:rPr>
          <w:rFonts w:hint="eastAsia" w:ascii="仿宋" w:hAnsi="仿宋" w:eastAsia="仿宋"/>
          <w:sz w:val="32"/>
          <w:szCs w:val="32"/>
        </w:rPr>
        <w:t>拟建项目位于福州市马尾区亭江镇长兴路37号1#楼（租赁福州开发区照华塑料制品有限公司厂房）</w:t>
      </w:r>
      <w:r>
        <w:rPr>
          <w:rFonts w:hint="eastAsia" w:ascii="仿宋" w:hAnsi="仿宋" w:eastAsia="仿宋"/>
          <w:snapToGrid w:val="0"/>
          <w:sz w:val="32"/>
          <w:szCs w:val="32"/>
        </w:rPr>
        <w:t>。</w:t>
      </w:r>
      <w:r>
        <w:rPr>
          <w:rFonts w:hint="eastAsia" w:ascii="仿宋" w:hAnsi="仿宋" w:eastAsia="仿宋"/>
          <w:sz w:val="32"/>
          <w:szCs w:val="32"/>
        </w:rPr>
        <w:t>建设内容及规模：设置1个废矿物油储罐（φ</w:t>
      </w:r>
      <w:r>
        <w:rPr>
          <w:rFonts w:ascii="仿宋" w:hAnsi="仿宋" w:eastAsia="仿宋"/>
          <w:sz w:val="32"/>
          <w:szCs w:val="32"/>
        </w:rPr>
        <w:t>2.7*4m</w:t>
      </w:r>
      <w:r>
        <w:rPr>
          <w:rFonts w:hint="eastAsia" w:ascii="仿宋" w:hAnsi="仿宋" w:eastAsia="仿宋" w:cs="TimesNewRomanPSMT"/>
          <w:sz w:val="32"/>
          <w:szCs w:val="32"/>
        </w:rPr>
        <w:t>）</w:t>
      </w:r>
      <w:r>
        <w:rPr>
          <w:rFonts w:hint="eastAsia" w:ascii="仿宋" w:hAnsi="仿宋" w:eastAsia="仿宋"/>
          <w:sz w:val="32"/>
          <w:szCs w:val="32"/>
        </w:rPr>
        <w:t>，并配套建设相关环保设施。项目用地面积1392平方米，建成后年收集贮存转运危险废物5000吨。项目不涉及对危险废物生产、加工、处置。</w:t>
      </w:r>
    </w:p>
    <w:p w14:paraId="2923A7DF">
      <w:pPr>
        <w:adjustRightInd w:val="0"/>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根据《报告表》评价结论、专家评审意见及福州市生态环境局《关于同意马尾小微企业危险废物收集试点单位地址变更的答复》，你公司在严格落实《报告表》提出的污染防治措施前提下，从环境保护角度分析项目建设可行，原则同意该项目按《报告表》所列地点、性质、规模进行建设。</w:t>
      </w:r>
    </w:p>
    <w:p w14:paraId="4015D1D2">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二、项目在实施过程中应严格落实《福州市生态环境局关于印发福州市危险废物收集改革试点布局方案的通知》（榕环保综〔2024〕47号）要求，并在项目建设和</w:t>
      </w:r>
      <w:r>
        <w:rPr>
          <w:rFonts w:hint="eastAsia" w:ascii="仿宋" w:hAnsi="仿宋" w:eastAsia="仿宋" w:cs="仿宋_GB2312"/>
          <w:kern w:val="2"/>
          <w:sz w:val="32"/>
          <w:szCs w:val="32"/>
        </w:rPr>
        <w:t>生产管理过程</w:t>
      </w:r>
      <w:r>
        <w:rPr>
          <w:rFonts w:hint="eastAsia" w:ascii="仿宋" w:hAnsi="仿宋" w:eastAsia="仿宋"/>
          <w:sz w:val="32"/>
          <w:szCs w:val="32"/>
        </w:rPr>
        <w:t>中，认真落实《报告表》提出的各项生态环境保护措施和要求，采取严格有效的污染防治、环境风险防控措施，确保各类污染物达标排放，环境风险有效防控，并重点做好以下工作：</w:t>
      </w:r>
    </w:p>
    <w:p w14:paraId="3B6E79B0">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1、项目排水系统应实行雨污分流。碱液喷淋水应经净化处理后循环使用，不外排。产生的废碱液作为危险废物委托有资质单位处置。</w:t>
      </w:r>
      <w:r>
        <w:rPr>
          <w:rFonts w:ascii="仿宋" w:hAnsi="仿宋" w:eastAsia="仿宋"/>
          <w:sz w:val="32"/>
          <w:szCs w:val="32"/>
        </w:rPr>
        <w:t>生活污水</w:t>
      </w:r>
      <w:r>
        <w:rPr>
          <w:rFonts w:hint="eastAsia" w:ascii="仿宋" w:hAnsi="仿宋" w:eastAsia="仿宋"/>
          <w:sz w:val="32"/>
          <w:szCs w:val="32"/>
        </w:rPr>
        <w:t>依托租赁方现有排污系统经</w:t>
      </w:r>
      <w:r>
        <w:rPr>
          <w:rFonts w:hint="eastAsia" w:ascii="仿宋" w:hAnsi="仿宋" w:eastAsia="仿宋" w:cs="仿宋"/>
          <w:sz w:val="32"/>
          <w:szCs w:val="32"/>
        </w:rPr>
        <w:t>处理达标后接入市政污水管网，纳入长安</w:t>
      </w:r>
      <w:r>
        <w:rPr>
          <w:rFonts w:ascii="仿宋" w:hAnsi="仿宋" w:eastAsia="仿宋"/>
          <w:sz w:val="32"/>
          <w:szCs w:val="32"/>
        </w:rPr>
        <w:t>污水处理厂集中处理</w:t>
      </w:r>
      <w:r>
        <w:rPr>
          <w:rFonts w:hint="eastAsia" w:ascii="仿宋" w:hAnsi="仿宋" w:eastAsia="仿宋"/>
          <w:sz w:val="32"/>
          <w:szCs w:val="32"/>
        </w:rPr>
        <w:t>。</w:t>
      </w:r>
    </w:p>
    <w:p w14:paraId="4B2E2BC9">
      <w:pPr>
        <w:pStyle w:val="20"/>
        <w:snapToGrid w:val="0"/>
        <w:spacing w:line="300" w:lineRule="auto"/>
        <w:ind w:firstLine="64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sz w:val="32"/>
          <w:szCs w:val="32"/>
        </w:rPr>
        <w:t>应采取密闭、负压等措施，提高车间内废气收集效率，各环节</w:t>
      </w:r>
      <w:r>
        <w:rPr>
          <w:rFonts w:hint="eastAsia" w:ascii="仿宋" w:hAnsi="仿宋" w:eastAsia="仿宋" w:cs="仿宋"/>
          <w:sz w:val="32"/>
          <w:szCs w:val="32"/>
        </w:rPr>
        <w:t>产生的</w:t>
      </w:r>
      <w:r>
        <w:rPr>
          <w:rFonts w:hint="eastAsia" w:ascii="仿宋" w:hAnsi="仿宋" w:eastAsia="仿宋"/>
          <w:sz w:val="32"/>
          <w:szCs w:val="32"/>
        </w:rPr>
        <w:t>废气应分别经收集净化处理达标后由2根15米排气筒排放。</w:t>
      </w:r>
    </w:p>
    <w:p w14:paraId="245D9A50">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3、应选用低噪声设备，合理布局，并采取隔声、减振等综合降噪措施，确保厂界噪声达标排放。</w:t>
      </w:r>
    </w:p>
    <w:p w14:paraId="31AB7169">
      <w:pPr>
        <w:pStyle w:val="14"/>
        <w:snapToGrid w:val="0"/>
        <w:ind w:firstLine="640" w:firstLineChars="200"/>
        <w:rPr>
          <w:rFonts w:ascii="仿宋" w:hAnsi="仿宋" w:eastAsia="仿宋"/>
          <w:sz w:val="32"/>
          <w:szCs w:val="32"/>
        </w:rPr>
      </w:pPr>
      <w:r>
        <w:rPr>
          <w:rFonts w:hint="eastAsia" w:ascii="仿宋" w:hAnsi="仿宋" w:eastAsia="仿宋"/>
          <w:sz w:val="32"/>
          <w:szCs w:val="32"/>
        </w:rPr>
        <w:t>4、废碱液、废电解液、废活性炭等危险废物，应委托有资质的处置单位规范处置。同时应按规范建立危险废物管理台账，严格按规定做好危险废物收集和转移工作，并加强全过程规范化管理，避免造成二次污染。生活垃圾经分类收集后可委托环卫部门统一清运，做到日产日清。</w:t>
      </w:r>
    </w:p>
    <w:p w14:paraId="6598C785">
      <w:pPr>
        <w:pStyle w:val="14"/>
        <w:snapToGrid w:val="0"/>
        <w:ind w:firstLine="640" w:firstLineChars="200"/>
        <w:rPr>
          <w:rFonts w:ascii="仿宋" w:hAnsi="仿宋" w:eastAsia="仿宋"/>
          <w:sz w:val="32"/>
          <w:szCs w:val="32"/>
        </w:rPr>
      </w:pPr>
      <w:r>
        <w:rPr>
          <w:rFonts w:hint="eastAsia" w:ascii="仿宋" w:hAnsi="仿宋" w:eastAsia="仿宋"/>
          <w:sz w:val="32"/>
          <w:szCs w:val="32"/>
        </w:rPr>
        <w:t>5、按照相关技术规范及《报告表》要求严格落实分区防渗措施，并加强防渗设施的日常维护。建立完善的土壤和地下水监测制度，防止土壤及地下水污染。</w:t>
      </w:r>
    </w:p>
    <w:p w14:paraId="0F0B83EF">
      <w:pPr>
        <w:pStyle w:val="14"/>
        <w:snapToGrid w:val="0"/>
        <w:ind w:firstLine="640" w:firstLineChars="200"/>
        <w:rPr>
          <w:rFonts w:ascii="仿宋" w:hAnsi="仿宋" w:eastAsia="仿宋"/>
          <w:sz w:val="32"/>
          <w:szCs w:val="32"/>
        </w:rPr>
      </w:pPr>
      <w:r>
        <w:rPr>
          <w:rFonts w:hint="eastAsia" w:ascii="仿宋" w:hAnsi="仿宋" w:eastAsia="仿宋"/>
          <w:sz w:val="32"/>
          <w:szCs w:val="32"/>
        </w:rPr>
        <w:t>6、加强项目环境安全管理，强化危险废物运输和贮存环境风险防范和应急措施。项目应配套足够容积的环境事故应急池，并配备完善的事故废水拦截、导流、收集设施，事故废水应作为危险废物委托有资质单位转运处理。同时应及时编制企业突发环境事件应急预案并备案，定期开展环境应急演练，有效防范和应对环境风险。</w:t>
      </w:r>
    </w:p>
    <w:p w14:paraId="26E60F5D">
      <w:pPr>
        <w:pStyle w:val="14"/>
        <w:snapToGrid w:val="0"/>
        <w:rPr>
          <w:rFonts w:ascii="仿宋" w:hAnsi="仿宋" w:eastAsia="仿宋"/>
          <w:sz w:val="32"/>
          <w:szCs w:val="32"/>
        </w:rPr>
      </w:pPr>
      <w:r>
        <w:rPr>
          <w:rFonts w:hint="eastAsia" w:ascii="仿宋" w:hAnsi="仿宋" w:eastAsia="仿宋"/>
          <w:sz w:val="32"/>
          <w:szCs w:val="32"/>
        </w:rPr>
        <w:t>7、本项目环境防护距离为厂区外延</w:t>
      </w:r>
      <w:r>
        <w:rPr>
          <w:rFonts w:hint="eastAsia" w:ascii="仿宋" w:hAnsi="仿宋" w:eastAsia="仿宋" w:cs="仿宋"/>
          <w:sz w:val="32"/>
          <w:szCs w:val="32"/>
        </w:rPr>
        <w:t>50</w:t>
      </w:r>
      <w:r>
        <w:rPr>
          <w:rFonts w:hint="eastAsia" w:ascii="仿宋" w:hAnsi="仿宋" w:eastAsia="仿宋"/>
          <w:sz w:val="32"/>
          <w:szCs w:val="32"/>
        </w:rPr>
        <w:t>米的范围，在此范围内不得新建居民住宅等环境敏感项目。你公司应将防护距离控制要求报马尾区自然资源和规划局、亭江镇人民政府备案。</w:t>
      </w:r>
    </w:p>
    <w:p w14:paraId="504E8490">
      <w:pPr>
        <w:pStyle w:val="14"/>
        <w:snapToGrid w:val="0"/>
        <w:ind w:firstLine="640" w:firstLineChars="200"/>
        <w:rPr>
          <w:rFonts w:ascii="仿宋" w:hAnsi="仿宋" w:eastAsia="仿宋"/>
          <w:sz w:val="32"/>
          <w:szCs w:val="32"/>
        </w:rPr>
      </w:pPr>
      <w:r>
        <w:rPr>
          <w:rFonts w:hint="eastAsia" w:ascii="仿宋" w:hAnsi="仿宋" w:eastAsia="仿宋"/>
          <w:sz w:val="32"/>
          <w:szCs w:val="32"/>
        </w:rPr>
        <w:t>8、本项目建设单位应领取危险废物经营许可证或取得小微企业危废收集资质后方可投产，并在危险废物经营许可证或小微企业危废收集资质有效期限内运营。</w:t>
      </w:r>
    </w:p>
    <w:p w14:paraId="77439DD7">
      <w:pPr>
        <w:pStyle w:val="14"/>
        <w:snapToGrid w:val="0"/>
        <w:ind w:firstLine="640" w:firstLineChars="200"/>
        <w:rPr>
          <w:rFonts w:ascii="仿宋" w:hAnsi="仿宋" w:eastAsia="仿宋"/>
          <w:sz w:val="32"/>
          <w:szCs w:val="32"/>
        </w:rPr>
      </w:pPr>
      <w:r>
        <w:rPr>
          <w:rFonts w:hint="eastAsia" w:ascii="仿宋" w:hAnsi="仿宋" w:eastAsia="仿宋"/>
          <w:sz w:val="32"/>
          <w:szCs w:val="32"/>
        </w:rPr>
        <w:t>三、污染物排放标准及主要污染物允许排放总量：</w:t>
      </w:r>
    </w:p>
    <w:p w14:paraId="12EF5E22">
      <w:pPr>
        <w:snapToGrid w:val="0"/>
        <w:spacing w:line="300" w:lineRule="auto"/>
        <w:ind w:firstLine="640" w:firstLineChars="20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污水排放执行《污水综合排放标准》(GB 8978-1996)表4中三级标准，氨氮参照执行《污水排入城镇下水道水质标准》（GB/T 31962-2015）表1中B级</w:t>
      </w:r>
      <w:r>
        <w:rPr>
          <w:rFonts w:ascii="仿宋" w:hAnsi="仿宋" w:eastAsia="仿宋"/>
          <w:sz w:val="32"/>
          <w:szCs w:val="32"/>
        </w:rPr>
        <w:t>限值要求。</w:t>
      </w:r>
    </w:p>
    <w:p w14:paraId="304CEE1D">
      <w:pPr>
        <w:snapToGrid w:val="0"/>
        <w:spacing w:line="300" w:lineRule="auto"/>
        <w:ind w:firstLine="640" w:firstLineChars="200"/>
        <w:rPr>
          <w:rFonts w:ascii="仿宋" w:hAnsi="仿宋" w:eastAsia="仿宋"/>
          <w:sz w:val="32"/>
          <w:szCs w:val="32"/>
        </w:rPr>
      </w:pPr>
      <w:r>
        <w:rPr>
          <w:rFonts w:hint="eastAsia" w:ascii="仿宋" w:hAnsi="仿宋" w:eastAsia="仿宋" w:cs="仿宋"/>
          <w:sz w:val="32"/>
          <w:szCs w:val="32"/>
        </w:rPr>
        <w:t>2、非甲烷总烃、氯化氢废气有组织排放执行</w:t>
      </w:r>
      <w:r>
        <w:rPr>
          <w:rFonts w:hint="eastAsia" w:ascii="仿宋" w:hAnsi="仿宋" w:eastAsia="仿宋"/>
          <w:sz w:val="32"/>
          <w:szCs w:val="32"/>
        </w:rPr>
        <w:t>《大气污染物综合排放标准》（GB 16297-1996）表2中最高允许排放浓度及二级最高允许排放速率限值</w:t>
      </w:r>
      <w:r>
        <w:rPr>
          <w:rFonts w:hint="eastAsia" w:ascii="仿宋" w:hAnsi="仿宋" w:eastAsia="仿宋" w:cs="仿宋"/>
          <w:sz w:val="32"/>
          <w:szCs w:val="32"/>
        </w:rPr>
        <w:t>（其中排放速率标准值严格50%执行）</w:t>
      </w:r>
      <w:r>
        <w:rPr>
          <w:rFonts w:hint="eastAsia" w:ascii="仿宋" w:hAnsi="仿宋" w:eastAsia="仿宋"/>
          <w:sz w:val="32"/>
          <w:szCs w:val="32"/>
        </w:rPr>
        <w:t>，无组织排放执行表2中无组织排放监控浓度限值。</w:t>
      </w:r>
    </w:p>
    <w:p w14:paraId="07CF52B8">
      <w:pPr>
        <w:snapToGrid w:val="0"/>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硫酸雾废气有组织排放执行《</w:t>
      </w:r>
      <w:r>
        <w:rPr>
          <w:rFonts w:hint="eastAsia" w:ascii="仿宋" w:hAnsi="仿宋" w:eastAsia="仿宋"/>
          <w:sz w:val="32"/>
          <w:szCs w:val="32"/>
        </w:rPr>
        <w:t>电池工业污染物排放标准</w:t>
      </w:r>
      <w:r>
        <w:rPr>
          <w:rFonts w:hint="eastAsia" w:ascii="仿宋" w:hAnsi="仿宋" w:eastAsia="仿宋" w:cs="仿宋"/>
          <w:sz w:val="32"/>
          <w:szCs w:val="32"/>
        </w:rPr>
        <w:t>》（</w:t>
      </w:r>
      <w:r>
        <w:rPr>
          <w:rFonts w:ascii="仿宋" w:hAnsi="仿宋" w:eastAsia="仿宋"/>
          <w:sz w:val="32"/>
          <w:szCs w:val="32"/>
        </w:rPr>
        <w:t>GB</w:t>
      </w:r>
      <w:r>
        <w:rPr>
          <w:rFonts w:hint="eastAsia" w:ascii="仿宋" w:hAnsi="仿宋" w:eastAsia="仿宋"/>
          <w:sz w:val="32"/>
          <w:szCs w:val="32"/>
        </w:rPr>
        <w:t xml:space="preserve"> </w:t>
      </w:r>
      <w:r>
        <w:rPr>
          <w:rFonts w:ascii="仿宋" w:hAnsi="仿宋" w:eastAsia="仿宋"/>
          <w:sz w:val="32"/>
          <w:szCs w:val="32"/>
        </w:rPr>
        <w:t>30484-2013</w:t>
      </w:r>
      <w:r>
        <w:rPr>
          <w:rFonts w:hint="eastAsia" w:ascii="仿宋" w:hAnsi="仿宋" w:eastAsia="仿宋" w:cs="仿宋"/>
          <w:sz w:val="32"/>
          <w:szCs w:val="32"/>
        </w:rPr>
        <w:t>）表5排放限值，</w:t>
      </w:r>
      <w:r>
        <w:rPr>
          <w:rFonts w:hint="eastAsia" w:ascii="仿宋" w:hAnsi="仿宋" w:eastAsia="仿宋"/>
          <w:sz w:val="32"/>
          <w:szCs w:val="32"/>
        </w:rPr>
        <w:t>无组织排放执行</w:t>
      </w:r>
      <w:r>
        <w:rPr>
          <w:rFonts w:hint="eastAsia" w:ascii="仿宋" w:hAnsi="仿宋" w:eastAsia="仿宋" w:cs="仿宋"/>
          <w:sz w:val="32"/>
          <w:szCs w:val="32"/>
        </w:rPr>
        <w:t>表6企业边界浓度限值。</w:t>
      </w:r>
    </w:p>
    <w:p w14:paraId="207660CF">
      <w:pPr>
        <w:snapToGrid w:val="0"/>
        <w:spacing w:line="30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企业厂区内VOCs无组织排放监控点浓度执行《挥发性有机物无组织排放控制标准》（GB 37822-2019）附录A中表A.1无组织排放限值。</w:t>
      </w:r>
    </w:p>
    <w:p w14:paraId="69BC1C20">
      <w:pPr>
        <w:snapToGrid w:val="0"/>
        <w:spacing w:line="300" w:lineRule="auto"/>
        <w:ind w:firstLine="640" w:firstLineChars="200"/>
        <w:rPr>
          <w:rFonts w:ascii="仿宋" w:hAnsi="仿宋" w:eastAsia="仿宋"/>
          <w:sz w:val="32"/>
          <w:szCs w:val="32"/>
        </w:rPr>
      </w:pPr>
      <w:r>
        <w:rPr>
          <w:rFonts w:ascii="仿宋" w:hAnsi="仿宋" w:eastAsia="仿宋"/>
          <w:sz w:val="32"/>
          <w:szCs w:val="32"/>
        </w:rPr>
        <w:t>恶臭</w:t>
      </w:r>
      <w:r>
        <w:rPr>
          <w:rFonts w:hint="eastAsia" w:ascii="仿宋" w:hAnsi="仿宋" w:eastAsia="仿宋"/>
          <w:sz w:val="32"/>
          <w:szCs w:val="32"/>
        </w:rPr>
        <w:t>污染物有组织</w:t>
      </w:r>
      <w:r>
        <w:rPr>
          <w:rFonts w:ascii="仿宋" w:hAnsi="仿宋" w:eastAsia="仿宋"/>
          <w:sz w:val="32"/>
          <w:szCs w:val="32"/>
        </w:rPr>
        <w:t>排放执行《恶臭污染物排放标准》（GB</w:t>
      </w:r>
      <w:r>
        <w:rPr>
          <w:rFonts w:hint="eastAsia" w:ascii="仿宋" w:hAnsi="仿宋" w:eastAsia="仿宋"/>
          <w:sz w:val="32"/>
          <w:szCs w:val="32"/>
        </w:rPr>
        <w:t xml:space="preserve"> </w:t>
      </w:r>
      <w:r>
        <w:rPr>
          <w:rFonts w:ascii="仿宋" w:hAnsi="仿宋" w:eastAsia="仿宋"/>
          <w:sz w:val="32"/>
          <w:szCs w:val="32"/>
        </w:rPr>
        <w:t>14554-93）表 2 中的排放标准值</w:t>
      </w:r>
      <w:r>
        <w:rPr>
          <w:rFonts w:hint="eastAsia" w:ascii="仿宋" w:hAnsi="仿宋" w:eastAsia="仿宋"/>
          <w:sz w:val="32"/>
          <w:szCs w:val="32"/>
        </w:rPr>
        <w:t>，</w:t>
      </w:r>
      <w:r>
        <w:rPr>
          <w:rFonts w:hint="eastAsia" w:ascii="仿宋" w:hAnsi="仿宋" w:eastAsia="仿宋" w:cs="仿宋_GB2312"/>
          <w:sz w:val="32"/>
          <w:szCs w:val="32"/>
        </w:rPr>
        <w:t>厂界无组织排放执行表1二级新扩改建厂界标准。</w:t>
      </w:r>
    </w:p>
    <w:p w14:paraId="5833E838">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3、厂界噪声排放执行《工业企业厂界环境噪声排放标准》（GB 12348-2008）表1中3类标准。</w:t>
      </w:r>
    </w:p>
    <w:p w14:paraId="6A1A415B">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4、危险废物临时贮存执行《危险废物贮存污染控制标准》（GB 18597-2023）中相关规定，转移管理执行《危险废物转移管理办法》（部令第23号）中相关规定。</w:t>
      </w:r>
    </w:p>
    <w:p w14:paraId="444DEBC8">
      <w:pPr>
        <w:pStyle w:val="14"/>
        <w:snapToGrid w:val="0"/>
        <w:ind w:firstLine="561"/>
        <w:rPr>
          <w:rFonts w:ascii="仿宋" w:hAnsi="仿宋" w:eastAsia="仿宋"/>
          <w:sz w:val="32"/>
          <w:szCs w:val="32"/>
        </w:rPr>
      </w:pPr>
      <w:r>
        <w:rPr>
          <w:rFonts w:hint="eastAsia" w:ascii="仿宋" w:hAnsi="仿宋" w:eastAsia="仿宋"/>
          <w:sz w:val="32"/>
          <w:szCs w:val="32"/>
        </w:rPr>
        <w:t>5、主要污染物允许排放总量：</w:t>
      </w:r>
    </w:p>
    <w:p w14:paraId="53F15AAF">
      <w:pPr>
        <w:pStyle w:val="14"/>
        <w:snapToGrid w:val="0"/>
        <w:ind w:firstLine="561"/>
        <w:rPr>
          <w:rFonts w:ascii="仿宋" w:hAnsi="仿宋" w:eastAsia="仿宋"/>
          <w:sz w:val="32"/>
          <w:szCs w:val="32"/>
        </w:rPr>
      </w:pPr>
      <w:r>
        <w:rPr>
          <w:rFonts w:hint="eastAsia" w:ascii="仿宋" w:hAnsi="仿宋" w:eastAsia="仿宋"/>
          <w:sz w:val="32"/>
          <w:szCs w:val="32"/>
        </w:rPr>
        <w:t>项目新增VOCs（以非甲烷总烃计）排放总量不超过0.0407吨/年。在项目投产前，应按照相关规定取得所需的总量指标。今后生态环境行政主管部门将根据国家政策和实际情况对污染物排放总量进行调整核定，你公司应按照执行。</w:t>
      </w:r>
    </w:p>
    <w:p w14:paraId="25B9353D">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四、项目建设应严格执行环保“三同时”制度。投产前，应按照</w:t>
      </w:r>
      <w:r>
        <w:rPr>
          <w:rFonts w:hint="eastAsia" w:ascii="仿宋" w:hAnsi="仿宋" w:eastAsia="仿宋"/>
          <w:sz w:val="32"/>
          <w:szCs w:val="32"/>
        </w:rPr>
        <w:t>《排污许可管理办法（试行）》、《固定污染源排污许可分类管理名录》（2019年版）、《排污许可管理条例》</w:t>
      </w:r>
      <w:r>
        <w:rPr>
          <w:rFonts w:hint="eastAsia" w:ascii="仿宋" w:hAnsi="仿宋" w:eastAsia="仿宋" w:cs="仿宋"/>
          <w:sz w:val="32"/>
          <w:szCs w:val="32"/>
        </w:rPr>
        <w:t>等相关规定依法完成排污许可管理。项目竣工后，应依法按规定程序开展项目竣工环境保护验收</w:t>
      </w:r>
      <w:r>
        <w:rPr>
          <w:rFonts w:hint="eastAsia" w:ascii="仿宋" w:hAnsi="仿宋" w:eastAsia="仿宋"/>
          <w:sz w:val="32"/>
          <w:szCs w:val="32"/>
        </w:rPr>
        <w:t>。项目配套的各项环境保护设施未建成或未经竣工验收合格，项目不得投入生产。</w:t>
      </w:r>
    </w:p>
    <w:p w14:paraId="061CFD5C">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五、我局委托福州市马尾生态环境保护综合执法大队开展该项目环保“三同时”监督检查、日常环保监督管理及负责督促</w:t>
      </w:r>
      <w:r>
        <w:rPr>
          <w:rFonts w:hint="eastAsia" w:ascii="仿宋" w:hAnsi="仿宋" w:eastAsia="仿宋"/>
          <w:sz w:val="32"/>
          <w:szCs w:val="32"/>
        </w:rPr>
        <w:t>华龙智慧（福建）数字科技有限公司</w:t>
      </w:r>
      <w:r>
        <w:rPr>
          <w:rFonts w:hint="eastAsia" w:ascii="仿宋" w:hAnsi="仿宋" w:eastAsia="仿宋" w:cs="仿宋"/>
          <w:sz w:val="32"/>
          <w:szCs w:val="32"/>
        </w:rPr>
        <w:t>依法开展</w:t>
      </w:r>
      <w:r>
        <w:rPr>
          <w:rFonts w:hint="eastAsia" w:ascii="仿宋" w:hAnsi="仿宋" w:eastAsia="仿宋"/>
          <w:sz w:val="32"/>
          <w:szCs w:val="32"/>
        </w:rPr>
        <w:t>华龙智慧危险废物收集贮存项目</w:t>
      </w:r>
      <w:r>
        <w:rPr>
          <w:rFonts w:hint="eastAsia" w:ascii="仿宋" w:hAnsi="仿宋" w:eastAsia="仿宋" w:cs="仿宋"/>
          <w:sz w:val="32"/>
          <w:szCs w:val="32"/>
        </w:rPr>
        <w:t>竣工环保验收工作。</w:t>
      </w:r>
    </w:p>
    <w:p w14:paraId="32943658">
      <w:pPr>
        <w:snapToGrid w:val="0"/>
        <w:spacing w:line="300" w:lineRule="auto"/>
        <w:ind w:firstLine="640" w:firstLineChars="200"/>
        <w:rPr>
          <w:rFonts w:ascii="仿宋" w:hAnsi="仿宋" w:eastAsia="仿宋"/>
          <w:sz w:val="32"/>
          <w:szCs w:val="32"/>
        </w:rPr>
      </w:pPr>
    </w:p>
    <w:p w14:paraId="7908E462">
      <w:pPr>
        <w:snapToGrid w:val="0"/>
        <w:spacing w:line="300" w:lineRule="auto"/>
        <w:ind w:firstLine="640" w:firstLineChars="200"/>
        <w:rPr>
          <w:rFonts w:ascii="仿宋" w:hAnsi="仿宋" w:eastAsia="仿宋"/>
          <w:sz w:val="32"/>
          <w:szCs w:val="32"/>
        </w:rPr>
      </w:pPr>
    </w:p>
    <w:p w14:paraId="32369CC5">
      <w:pPr>
        <w:snapToGrid w:val="0"/>
        <w:spacing w:line="300" w:lineRule="auto"/>
        <w:ind w:firstLine="6080" w:firstLineChars="1900"/>
        <w:rPr>
          <w:rFonts w:ascii="仿宋" w:hAnsi="仿宋" w:eastAsia="仿宋"/>
          <w:sz w:val="32"/>
          <w:szCs w:val="32"/>
        </w:rPr>
      </w:pPr>
      <w:r>
        <w:rPr>
          <w:rFonts w:hint="eastAsia" w:ascii="仿宋" w:hAnsi="仿宋" w:eastAsia="仿宋"/>
          <w:sz w:val="32"/>
          <w:szCs w:val="32"/>
        </w:rPr>
        <w:t>福州市生态环境局</w:t>
      </w:r>
    </w:p>
    <w:p w14:paraId="08EBCA03">
      <w:pPr>
        <w:snapToGrid w:val="0"/>
        <w:spacing w:line="300" w:lineRule="auto"/>
        <w:ind w:left="5432" w:hanging="1123"/>
        <w:rPr>
          <w:rFonts w:ascii="仿宋" w:hAnsi="仿宋" w:eastAsia="仿宋"/>
          <w:sz w:val="32"/>
          <w:szCs w:val="32"/>
        </w:rPr>
      </w:pPr>
      <w:r>
        <w:rPr>
          <w:rFonts w:hint="eastAsia" w:ascii="仿宋" w:hAnsi="仿宋" w:eastAsia="仿宋"/>
          <w:sz w:val="32"/>
          <w:szCs w:val="32"/>
        </w:rPr>
        <w:t xml:space="preserve">            2025年3月19日</w:t>
      </w:r>
    </w:p>
    <w:p w14:paraId="7F21D203">
      <w:pPr>
        <w:snapToGrid w:val="0"/>
        <w:spacing w:line="180" w:lineRule="auto"/>
        <w:ind w:firstLine="640" w:firstLineChars="200"/>
        <w:jc w:val="left"/>
        <w:rPr>
          <w:rFonts w:hint="eastAsia" w:ascii="仿宋" w:hAnsi="仿宋" w:eastAsia="仿宋"/>
          <w:sz w:val="32"/>
          <w:szCs w:val="32"/>
          <w:lang w:eastAsia="zh-CN"/>
        </w:rPr>
      </w:pPr>
    </w:p>
    <w:p w14:paraId="795C5B3B">
      <w:pPr>
        <w:snapToGrid w:val="0"/>
        <w:spacing w:line="180" w:lineRule="auto"/>
        <w:ind w:firstLine="640" w:firstLineChars="200"/>
        <w:jc w:val="left"/>
        <w:rPr>
          <w:rFonts w:hint="eastAsia" w:ascii="仿宋" w:hAnsi="仿宋" w:eastAsia="仿宋"/>
          <w:sz w:val="32"/>
          <w:szCs w:val="32"/>
          <w:lang w:eastAsia="zh-CN"/>
        </w:rPr>
      </w:pPr>
    </w:p>
    <w:p w14:paraId="60C17C0D">
      <w:pPr>
        <w:snapToGrid w:val="0"/>
        <w:spacing w:line="180" w:lineRule="auto"/>
        <w:ind w:firstLine="640" w:firstLineChars="200"/>
        <w:jc w:val="left"/>
        <w:rPr>
          <w:rFonts w:hint="eastAsia" w:ascii="仿宋" w:hAnsi="仿宋" w:eastAsia="仿宋"/>
          <w:sz w:val="32"/>
          <w:szCs w:val="32"/>
          <w:lang w:eastAsia="zh-CN"/>
        </w:rPr>
      </w:pPr>
      <w:bookmarkStart w:id="0" w:name="_GoBack"/>
      <w:bookmarkEnd w:id="0"/>
      <w:r>
        <w:rPr>
          <w:rFonts w:hint="eastAsia" w:ascii="仿宋" w:hAnsi="仿宋" w:eastAsia="仿宋"/>
          <w:sz w:val="32"/>
          <w:szCs w:val="32"/>
          <w:lang w:eastAsia="zh-CN"/>
        </w:rPr>
        <w:t>（</w:t>
      </w:r>
      <w:r>
        <w:rPr>
          <w:rFonts w:hint="eastAsia" w:ascii="仿宋" w:hAnsi="仿宋" w:eastAsia="仿宋"/>
          <w:sz w:val="32"/>
          <w:szCs w:val="32"/>
          <w:lang w:val="en-US" w:eastAsia="zh-CN"/>
        </w:rPr>
        <w:t>此件主动公开</w:t>
      </w:r>
      <w:r>
        <w:rPr>
          <w:rFonts w:hint="eastAsia" w:ascii="仿宋" w:hAnsi="仿宋" w:eastAsia="仿宋"/>
          <w:sz w:val="32"/>
          <w:szCs w:val="32"/>
          <w:lang w:eastAsia="zh-CN"/>
        </w:rPr>
        <w:t>）</w:t>
      </w:r>
    </w:p>
    <w:p w14:paraId="731A0480">
      <w:pPr>
        <w:snapToGrid w:val="0"/>
        <w:spacing w:line="120" w:lineRule="auto"/>
        <w:ind w:left="5279"/>
        <w:rPr>
          <w:rFonts w:ascii="仿宋_GB2312" w:hAnsi="Times New Roman" w:eastAsia="仿宋_GB2312"/>
          <w:sz w:val="18"/>
        </w:rPr>
      </w:pPr>
    </w:p>
    <w:tbl>
      <w:tblPr>
        <w:tblStyle w:val="31"/>
        <w:tblW w:w="9214" w:type="dxa"/>
        <w:tblInd w:w="108" w:type="dxa"/>
        <w:tblLayout w:type="fixed"/>
        <w:tblCellMar>
          <w:top w:w="0" w:type="dxa"/>
          <w:left w:w="0" w:type="dxa"/>
          <w:bottom w:w="0" w:type="dxa"/>
          <w:right w:w="0" w:type="dxa"/>
        </w:tblCellMar>
      </w:tblPr>
      <w:tblGrid>
        <w:gridCol w:w="993"/>
        <w:gridCol w:w="3885"/>
        <w:gridCol w:w="4336"/>
      </w:tblGrid>
      <w:tr w14:paraId="5BC911F3">
        <w:tblPrEx>
          <w:tblCellMar>
            <w:top w:w="0" w:type="dxa"/>
            <w:left w:w="0" w:type="dxa"/>
            <w:bottom w:w="0" w:type="dxa"/>
            <w:right w:w="0" w:type="dxa"/>
          </w:tblCellMar>
        </w:tblPrEx>
        <w:trPr>
          <w:trHeight w:val="565" w:hRule="atLeast"/>
        </w:trPr>
        <w:tc>
          <w:tcPr>
            <w:tcW w:w="993" w:type="dxa"/>
            <w:tcBorders>
              <w:top w:val="single" w:color="000000" w:sz="4" w:space="0"/>
              <w:bottom w:val="single" w:color="000000" w:sz="4" w:space="0"/>
            </w:tcBorders>
            <w:tcMar>
              <w:top w:w="0" w:type="dxa"/>
              <w:left w:w="108" w:type="dxa"/>
              <w:bottom w:w="0" w:type="dxa"/>
              <w:right w:w="108" w:type="dxa"/>
            </w:tcMar>
            <w:vAlign w:val="center"/>
          </w:tcPr>
          <w:p w14:paraId="4743E019">
            <w:pPr>
              <w:tabs>
                <w:tab w:val="left" w:pos="3885"/>
              </w:tabs>
              <w:ind w:right="53"/>
              <w:rPr>
                <w:rFonts w:ascii="仿宋" w:hAnsi="仿宋" w:eastAsia="仿宋"/>
                <w:spacing w:val="-10"/>
                <w:sz w:val="28"/>
              </w:rPr>
            </w:pPr>
            <w:r>
              <w:rPr>
                <w:rFonts w:hint="eastAsia" w:ascii="仿宋" w:hAnsi="仿宋" w:eastAsia="仿宋"/>
                <w:spacing w:val="-10"/>
                <w:sz w:val="28"/>
              </w:rPr>
              <w:t>抄送：</w:t>
            </w:r>
          </w:p>
        </w:tc>
        <w:tc>
          <w:tcPr>
            <w:tcW w:w="8221" w:type="dxa"/>
            <w:gridSpan w:val="2"/>
            <w:tcBorders>
              <w:top w:val="single" w:color="000000" w:sz="4" w:space="0"/>
              <w:bottom w:val="single" w:color="000000" w:sz="4" w:space="0"/>
            </w:tcBorders>
            <w:tcMar>
              <w:top w:w="0" w:type="dxa"/>
              <w:left w:w="108" w:type="dxa"/>
              <w:bottom w:w="0" w:type="dxa"/>
              <w:right w:w="108" w:type="dxa"/>
            </w:tcMar>
            <w:vAlign w:val="center"/>
          </w:tcPr>
          <w:p w14:paraId="2A8A490C">
            <w:pPr>
              <w:tabs>
                <w:tab w:val="left" w:pos="3885"/>
              </w:tabs>
              <w:ind w:left="-130"/>
              <w:rPr>
                <w:rFonts w:ascii="仿宋" w:hAnsi="仿宋" w:eastAsia="仿宋"/>
                <w:sz w:val="25"/>
                <w:szCs w:val="25"/>
              </w:rPr>
            </w:pPr>
            <w:r>
              <w:rPr>
                <w:rFonts w:hint="eastAsia" w:ascii="仿宋" w:hAnsi="仿宋" w:eastAsia="仿宋"/>
                <w:sz w:val="25"/>
                <w:szCs w:val="25"/>
              </w:rPr>
              <w:t>福州市马尾生态环境保护综合执法大队、福建省闽创环保科技有限公司</w:t>
            </w:r>
          </w:p>
        </w:tc>
      </w:tr>
      <w:tr w14:paraId="1BD586A4">
        <w:tblPrEx>
          <w:tblCellMar>
            <w:top w:w="0" w:type="dxa"/>
            <w:left w:w="0" w:type="dxa"/>
            <w:bottom w:w="0" w:type="dxa"/>
            <w:right w:w="0" w:type="dxa"/>
          </w:tblCellMar>
        </w:tblPrEx>
        <w:trPr>
          <w:trHeight w:val="501" w:hRule="atLeast"/>
        </w:trPr>
        <w:tc>
          <w:tcPr>
            <w:tcW w:w="4878" w:type="dxa"/>
            <w:gridSpan w:val="2"/>
            <w:tcBorders>
              <w:top w:val="single" w:color="000000" w:sz="4" w:space="0"/>
              <w:bottom w:val="single" w:color="000000" w:sz="4" w:space="0"/>
            </w:tcBorders>
            <w:tcMar>
              <w:top w:w="0" w:type="dxa"/>
              <w:left w:w="108" w:type="dxa"/>
              <w:bottom w:w="0" w:type="dxa"/>
              <w:right w:w="108" w:type="dxa"/>
            </w:tcMar>
            <w:vAlign w:val="center"/>
          </w:tcPr>
          <w:p w14:paraId="3D01BE98">
            <w:pPr>
              <w:tabs>
                <w:tab w:val="left" w:pos="3885"/>
              </w:tabs>
              <w:ind w:firstLine="840" w:firstLineChars="300"/>
              <w:rPr>
                <w:rFonts w:ascii="仿宋" w:hAnsi="仿宋" w:eastAsia="仿宋"/>
                <w:sz w:val="28"/>
              </w:rPr>
            </w:pPr>
            <w:r>
              <w:rPr>
                <w:rFonts w:hint="eastAsia" w:ascii="仿宋" w:hAnsi="仿宋" w:eastAsia="仿宋"/>
                <w:sz w:val="28"/>
              </w:rPr>
              <w:t>福州市生态环境局</w:t>
            </w:r>
          </w:p>
        </w:tc>
        <w:tc>
          <w:tcPr>
            <w:tcW w:w="4336" w:type="dxa"/>
            <w:tcBorders>
              <w:top w:val="single" w:color="000000" w:sz="4" w:space="0"/>
              <w:bottom w:val="single" w:color="000000" w:sz="4" w:space="0"/>
            </w:tcBorders>
            <w:tcMar>
              <w:top w:w="0" w:type="dxa"/>
              <w:left w:w="108" w:type="dxa"/>
              <w:bottom w:w="0" w:type="dxa"/>
              <w:right w:w="108" w:type="dxa"/>
            </w:tcMar>
            <w:vAlign w:val="center"/>
          </w:tcPr>
          <w:p w14:paraId="406280DF">
            <w:pPr>
              <w:tabs>
                <w:tab w:val="left" w:pos="3882"/>
                <w:tab w:val="left" w:pos="3987"/>
              </w:tabs>
              <w:ind w:right="311" w:firstLine="840" w:firstLineChars="300"/>
              <w:rPr>
                <w:rFonts w:ascii="仿宋" w:hAnsi="仿宋" w:eastAsia="仿宋"/>
                <w:sz w:val="28"/>
              </w:rPr>
            </w:pPr>
            <w:r>
              <w:rPr>
                <w:rFonts w:hint="eastAsia" w:ascii="仿宋" w:hAnsi="仿宋" w:eastAsia="仿宋"/>
                <w:sz w:val="28"/>
              </w:rPr>
              <w:t>2025年3月19日印发</w:t>
            </w:r>
          </w:p>
        </w:tc>
      </w:tr>
    </w:tbl>
    <w:p w14:paraId="0279203B">
      <w:pPr>
        <w:snapToGrid w:val="0"/>
        <w:spacing w:line="60" w:lineRule="auto"/>
        <w:ind w:firstLine="3360"/>
        <w:rPr>
          <w:rFonts w:hAnsi="Times New Roman"/>
          <w:sz w:val="18"/>
        </w:rPr>
      </w:pPr>
    </w:p>
    <w:p w14:paraId="3BF21C12">
      <w:pPr>
        <w:snapToGrid w:val="0"/>
        <w:jc w:val="center"/>
        <w:rPr>
          <w:rFonts w:hAnsi="Times New Roman"/>
          <w:sz w:val="18"/>
        </w:rPr>
      </w:pPr>
    </w:p>
    <w:sectPr>
      <w:headerReference r:id="rId3" w:type="default"/>
      <w:footerReference r:id="rId4" w:type="default"/>
      <w:pgSz w:w="11907" w:h="16840"/>
      <w:pgMar w:top="1474" w:right="1474" w:bottom="1474" w:left="1588"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290E">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w:t>
    </w:r>
    <w:r>
      <w:rPr>
        <w:rFonts w:hAnsi="Times New Roman"/>
        <w:sz w:val="18"/>
      </w:rPr>
      <w:fldChar w:fldCharType="end"/>
    </w:r>
  </w:p>
  <w:p w14:paraId="3ABCD00C">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8A755">
    <w:pPr>
      <w:tabs>
        <w:tab w:val="center" w:pos="4153"/>
        <w:tab w:val="right" w:pos="8306"/>
      </w:tabs>
      <w:snapToGrid w:val="0"/>
      <w:jc w:val="center"/>
      <w:rPr>
        <w:rFonts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TkyOWY4ZjBiYzA3YjM3N2MwZTg1MTViZjFlZDE3NWIifQ=="/>
  </w:docVars>
  <w:rsids>
    <w:rsidRoot w:val="00891525"/>
    <w:rsid w:val="000014FB"/>
    <w:rsid w:val="00005FF6"/>
    <w:rsid w:val="000105B0"/>
    <w:rsid w:val="00012E8C"/>
    <w:rsid w:val="00013D70"/>
    <w:rsid w:val="00015FA3"/>
    <w:rsid w:val="00021405"/>
    <w:rsid w:val="00022E57"/>
    <w:rsid w:val="00023D5B"/>
    <w:rsid w:val="00023DE5"/>
    <w:rsid w:val="00024153"/>
    <w:rsid w:val="000268DE"/>
    <w:rsid w:val="000276A9"/>
    <w:rsid w:val="00027C2B"/>
    <w:rsid w:val="000304F1"/>
    <w:rsid w:val="00030D6E"/>
    <w:rsid w:val="000310D6"/>
    <w:rsid w:val="00036858"/>
    <w:rsid w:val="00037F59"/>
    <w:rsid w:val="000446C5"/>
    <w:rsid w:val="00044EB8"/>
    <w:rsid w:val="00044F23"/>
    <w:rsid w:val="00045872"/>
    <w:rsid w:val="000459ED"/>
    <w:rsid w:val="00047051"/>
    <w:rsid w:val="00050523"/>
    <w:rsid w:val="000529A1"/>
    <w:rsid w:val="00052EAD"/>
    <w:rsid w:val="00053E16"/>
    <w:rsid w:val="00053FC0"/>
    <w:rsid w:val="0005618E"/>
    <w:rsid w:val="000636D0"/>
    <w:rsid w:val="00063B40"/>
    <w:rsid w:val="00064380"/>
    <w:rsid w:val="0006555A"/>
    <w:rsid w:val="00066783"/>
    <w:rsid w:val="00075B19"/>
    <w:rsid w:val="00076993"/>
    <w:rsid w:val="0008078B"/>
    <w:rsid w:val="00081015"/>
    <w:rsid w:val="000834E8"/>
    <w:rsid w:val="00090564"/>
    <w:rsid w:val="000907EE"/>
    <w:rsid w:val="00090D45"/>
    <w:rsid w:val="00091C53"/>
    <w:rsid w:val="00092BAE"/>
    <w:rsid w:val="000932E9"/>
    <w:rsid w:val="00093E51"/>
    <w:rsid w:val="00097758"/>
    <w:rsid w:val="000A0B6A"/>
    <w:rsid w:val="000A117B"/>
    <w:rsid w:val="000B0020"/>
    <w:rsid w:val="000B0140"/>
    <w:rsid w:val="000B1147"/>
    <w:rsid w:val="000B1646"/>
    <w:rsid w:val="000B1EB0"/>
    <w:rsid w:val="000B3ADA"/>
    <w:rsid w:val="000B3ED4"/>
    <w:rsid w:val="000B5179"/>
    <w:rsid w:val="000B762B"/>
    <w:rsid w:val="000C1193"/>
    <w:rsid w:val="000C25A2"/>
    <w:rsid w:val="000C3144"/>
    <w:rsid w:val="000C5773"/>
    <w:rsid w:val="000C584F"/>
    <w:rsid w:val="000C651C"/>
    <w:rsid w:val="000C7018"/>
    <w:rsid w:val="000D3358"/>
    <w:rsid w:val="000D3B6F"/>
    <w:rsid w:val="000D41CD"/>
    <w:rsid w:val="000D4705"/>
    <w:rsid w:val="000D4BF8"/>
    <w:rsid w:val="000D5709"/>
    <w:rsid w:val="000D5C15"/>
    <w:rsid w:val="000D6323"/>
    <w:rsid w:val="000E05E8"/>
    <w:rsid w:val="000E1034"/>
    <w:rsid w:val="000E346C"/>
    <w:rsid w:val="000E3A49"/>
    <w:rsid w:val="000E5B89"/>
    <w:rsid w:val="000E77CA"/>
    <w:rsid w:val="000E79B4"/>
    <w:rsid w:val="000F24BA"/>
    <w:rsid w:val="000F28C6"/>
    <w:rsid w:val="000F3A51"/>
    <w:rsid w:val="000F3E70"/>
    <w:rsid w:val="000F5AD0"/>
    <w:rsid w:val="00101FEE"/>
    <w:rsid w:val="00102144"/>
    <w:rsid w:val="00103932"/>
    <w:rsid w:val="00103CA6"/>
    <w:rsid w:val="0010497B"/>
    <w:rsid w:val="00106333"/>
    <w:rsid w:val="00106E81"/>
    <w:rsid w:val="0010784A"/>
    <w:rsid w:val="00107C77"/>
    <w:rsid w:val="001134DF"/>
    <w:rsid w:val="001159E1"/>
    <w:rsid w:val="00115A05"/>
    <w:rsid w:val="00116003"/>
    <w:rsid w:val="001167D8"/>
    <w:rsid w:val="00122C1C"/>
    <w:rsid w:val="00123089"/>
    <w:rsid w:val="00125D6F"/>
    <w:rsid w:val="0013142B"/>
    <w:rsid w:val="00131977"/>
    <w:rsid w:val="00133F79"/>
    <w:rsid w:val="001349B7"/>
    <w:rsid w:val="0013558B"/>
    <w:rsid w:val="00136F11"/>
    <w:rsid w:val="00140545"/>
    <w:rsid w:val="00140649"/>
    <w:rsid w:val="00143766"/>
    <w:rsid w:val="00147AB3"/>
    <w:rsid w:val="0015051F"/>
    <w:rsid w:val="00151F64"/>
    <w:rsid w:val="001520E1"/>
    <w:rsid w:val="001538B9"/>
    <w:rsid w:val="00154190"/>
    <w:rsid w:val="00155BCE"/>
    <w:rsid w:val="001604AC"/>
    <w:rsid w:val="001613F5"/>
    <w:rsid w:val="00161D70"/>
    <w:rsid w:val="0016210F"/>
    <w:rsid w:val="00167E55"/>
    <w:rsid w:val="00170D75"/>
    <w:rsid w:val="00171119"/>
    <w:rsid w:val="001712D7"/>
    <w:rsid w:val="00171CEE"/>
    <w:rsid w:val="001721FB"/>
    <w:rsid w:val="001741A4"/>
    <w:rsid w:val="00175EA6"/>
    <w:rsid w:val="00182177"/>
    <w:rsid w:val="00183D55"/>
    <w:rsid w:val="00184728"/>
    <w:rsid w:val="00185273"/>
    <w:rsid w:val="001871FB"/>
    <w:rsid w:val="001913A4"/>
    <w:rsid w:val="0019295D"/>
    <w:rsid w:val="00192DBF"/>
    <w:rsid w:val="00193816"/>
    <w:rsid w:val="001945AE"/>
    <w:rsid w:val="00195401"/>
    <w:rsid w:val="00196CDC"/>
    <w:rsid w:val="00197388"/>
    <w:rsid w:val="00197FC7"/>
    <w:rsid w:val="001A22B5"/>
    <w:rsid w:val="001A2C31"/>
    <w:rsid w:val="001A2E05"/>
    <w:rsid w:val="001A4373"/>
    <w:rsid w:val="001B0A78"/>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C76E2"/>
    <w:rsid w:val="001C7886"/>
    <w:rsid w:val="001D04F5"/>
    <w:rsid w:val="001D138F"/>
    <w:rsid w:val="001D1C93"/>
    <w:rsid w:val="001D4165"/>
    <w:rsid w:val="001D437D"/>
    <w:rsid w:val="001D562A"/>
    <w:rsid w:val="001E0D02"/>
    <w:rsid w:val="001E11AD"/>
    <w:rsid w:val="001E2F46"/>
    <w:rsid w:val="001E32BF"/>
    <w:rsid w:val="001E403D"/>
    <w:rsid w:val="001E6287"/>
    <w:rsid w:val="001E73B8"/>
    <w:rsid w:val="001E78B2"/>
    <w:rsid w:val="001E7DC0"/>
    <w:rsid w:val="001F1C53"/>
    <w:rsid w:val="001F379B"/>
    <w:rsid w:val="001F462B"/>
    <w:rsid w:val="001F543F"/>
    <w:rsid w:val="001F5DBC"/>
    <w:rsid w:val="001F7416"/>
    <w:rsid w:val="001F7551"/>
    <w:rsid w:val="001F7726"/>
    <w:rsid w:val="00200AE8"/>
    <w:rsid w:val="00201056"/>
    <w:rsid w:val="002014CF"/>
    <w:rsid w:val="002021AF"/>
    <w:rsid w:val="0020442E"/>
    <w:rsid w:val="00204682"/>
    <w:rsid w:val="00204A57"/>
    <w:rsid w:val="00204C6F"/>
    <w:rsid w:val="00206998"/>
    <w:rsid w:val="00206D7D"/>
    <w:rsid w:val="002070BC"/>
    <w:rsid w:val="0020773B"/>
    <w:rsid w:val="0021000B"/>
    <w:rsid w:val="00211516"/>
    <w:rsid w:val="00211A36"/>
    <w:rsid w:val="00214552"/>
    <w:rsid w:val="00215040"/>
    <w:rsid w:val="0021637D"/>
    <w:rsid w:val="00216CA5"/>
    <w:rsid w:val="00221351"/>
    <w:rsid w:val="002228A0"/>
    <w:rsid w:val="00222EA4"/>
    <w:rsid w:val="00223781"/>
    <w:rsid w:val="00230C35"/>
    <w:rsid w:val="00232042"/>
    <w:rsid w:val="002323D4"/>
    <w:rsid w:val="002335EC"/>
    <w:rsid w:val="00233C1B"/>
    <w:rsid w:val="002343E2"/>
    <w:rsid w:val="002359CD"/>
    <w:rsid w:val="00235D84"/>
    <w:rsid w:val="00236CD8"/>
    <w:rsid w:val="00237209"/>
    <w:rsid w:val="0024141C"/>
    <w:rsid w:val="002428D6"/>
    <w:rsid w:val="00244478"/>
    <w:rsid w:val="0024553D"/>
    <w:rsid w:val="00246A65"/>
    <w:rsid w:val="0025132A"/>
    <w:rsid w:val="002520DF"/>
    <w:rsid w:val="00254D3F"/>
    <w:rsid w:val="002562DB"/>
    <w:rsid w:val="00256317"/>
    <w:rsid w:val="00256B9A"/>
    <w:rsid w:val="002601D3"/>
    <w:rsid w:val="00270E9D"/>
    <w:rsid w:val="00271213"/>
    <w:rsid w:val="00272FA9"/>
    <w:rsid w:val="0027553C"/>
    <w:rsid w:val="00276D5E"/>
    <w:rsid w:val="00276E11"/>
    <w:rsid w:val="002803CE"/>
    <w:rsid w:val="00281449"/>
    <w:rsid w:val="00282405"/>
    <w:rsid w:val="00283772"/>
    <w:rsid w:val="00284C27"/>
    <w:rsid w:val="002858A5"/>
    <w:rsid w:val="00286561"/>
    <w:rsid w:val="00287DAE"/>
    <w:rsid w:val="002915EA"/>
    <w:rsid w:val="0029546D"/>
    <w:rsid w:val="00295D66"/>
    <w:rsid w:val="002969BD"/>
    <w:rsid w:val="00297E44"/>
    <w:rsid w:val="002A31DE"/>
    <w:rsid w:val="002A34AE"/>
    <w:rsid w:val="002A466E"/>
    <w:rsid w:val="002A4B53"/>
    <w:rsid w:val="002A5A01"/>
    <w:rsid w:val="002A5A3A"/>
    <w:rsid w:val="002A704A"/>
    <w:rsid w:val="002B025E"/>
    <w:rsid w:val="002B17C7"/>
    <w:rsid w:val="002B18D9"/>
    <w:rsid w:val="002B25E3"/>
    <w:rsid w:val="002B558F"/>
    <w:rsid w:val="002B57EB"/>
    <w:rsid w:val="002C0305"/>
    <w:rsid w:val="002C47F2"/>
    <w:rsid w:val="002C4D3D"/>
    <w:rsid w:val="002C541E"/>
    <w:rsid w:val="002C7683"/>
    <w:rsid w:val="002D11F6"/>
    <w:rsid w:val="002D3229"/>
    <w:rsid w:val="002D3FAD"/>
    <w:rsid w:val="002D4324"/>
    <w:rsid w:val="002D4431"/>
    <w:rsid w:val="002D564E"/>
    <w:rsid w:val="002E264C"/>
    <w:rsid w:val="002E275F"/>
    <w:rsid w:val="002E37AC"/>
    <w:rsid w:val="002E5390"/>
    <w:rsid w:val="002E5AB3"/>
    <w:rsid w:val="002E5ADA"/>
    <w:rsid w:val="002E617D"/>
    <w:rsid w:val="002E62A9"/>
    <w:rsid w:val="002E7E5A"/>
    <w:rsid w:val="002F0365"/>
    <w:rsid w:val="002F31C4"/>
    <w:rsid w:val="002F3263"/>
    <w:rsid w:val="002F3770"/>
    <w:rsid w:val="002F41EC"/>
    <w:rsid w:val="002F4384"/>
    <w:rsid w:val="002F5AB6"/>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012C"/>
    <w:rsid w:val="00326791"/>
    <w:rsid w:val="00326FAB"/>
    <w:rsid w:val="00330045"/>
    <w:rsid w:val="00330F06"/>
    <w:rsid w:val="003314E0"/>
    <w:rsid w:val="00331CAD"/>
    <w:rsid w:val="00333506"/>
    <w:rsid w:val="00333640"/>
    <w:rsid w:val="003337DF"/>
    <w:rsid w:val="0033430B"/>
    <w:rsid w:val="0033644D"/>
    <w:rsid w:val="00336827"/>
    <w:rsid w:val="00337BDA"/>
    <w:rsid w:val="00340BAC"/>
    <w:rsid w:val="00341326"/>
    <w:rsid w:val="00343D8F"/>
    <w:rsid w:val="00344679"/>
    <w:rsid w:val="003471D0"/>
    <w:rsid w:val="00347D0B"/>
    <w:rsid w:val="003505A3"/>
    <w:rsid w:val="003566FB"/>
    <w:rsid w:val="00361BA6"/>
    <w:rsid w:val="00366812"/>
    <w:rsid w:val="00367067"/>
    <w:rsid w:val="00367EB7"/>
    <w:rsid w:val="003702E9"/>
    <w:rsid w:val="00370B1F"/>
    <w:rsid w:val="00370D85"/>
    <w:rsid w:val="00372008"/>
    <w:rsid w:val="00374055"/>
    <w:rsid w:val="00374FB5"/>
    <w:rsid w:val="00375041"/>
    <w:rsid w:val="00376DA5"/>
    <w:rsid w:val="0038040D"/>
    <w:rsid w:val="00381112"/>
    <w:rsid w:val="00382DEA"/>
    <w:rsid w:val="003834C9"/>
    <w:rsid w:val="00383D7F"/>
    <w:rsid w:val="003842E5"/>
    <w:rsid w:val="00386D00"/>
    <w:rsid w:val="00387343"/>
    <w:rsid w:val="0039094F"/>
    <w:rsid w:val="00390979"/>
    <w:rsid w:val="00393C80"/>
    <w:rsid w:val="003940C3"/>
    <w:rsid w:val="003947B9"/>
    <w:rsid w:val="00394B95"/>
    <w:rsid w:val="003963CB"/>
    <w:rsid w:val="00396958"/>
    <w:rsid w:val="0039738C"/>
    <w:rsid w:val="0039753A"/>
    <w:rsid w:val="003A0AA6"/>
    <w:rsid w:val="003A1AEA"/>
    <w:rsid w:val="003B1090"/>
    <w:rsid w:val="003B11EA"/>
    <w:rsid w:val="003B228D"/>
    <w:rsid w:val="003B72CD"/>
    <w:rsid w:val="003C12BF"/>
    <w:rsid w:val="003C2EAC"/>
    <w:rsid w:val="003C46EE"/>
    <w:rsid w:val="003C5407"/>
    <w:rsid w:val="003C61E0"/>
    <w:rsid w:val="003D261B"/>
    <w:rsid w:val="003D43AA"/>
    <w:rsid w:val="003D4EF5"/>
    <w:rsid w:val="003D777E"/>
    <w:rsid w:val="003D7BED"/>
    <w:rsid w:val="003E06BF"/>
    <w:rsid w:val="003E2137"/>
    <w:rsid w:val="003E3CF1"/>
    <w:rsid w:val="003E3DF1"/>
    <w:rsid w:val="003E4412"/>
    <w:rsid w:val="003E6634"/>
    <w:rsid w:val="003F12D0"/>
    <w:rsid w:val="003F14AF"/>
    <w:rsid w:val="003F34CD"/>
    <w:rsid w:val="003F6E6B"/>
    <w:rsid w:val="004006A7"/>
    <w:rsid w:val="00400872"/>
    <w:rsid w:val="00401300"/>
    <w:rsid w:val="00401814"/>
    <w:rsid w:val="00401DA5"/>
    <w:rsid w:val="00402D88"/>
    <w:rsid w:val="004035CF"/>
    <w:rsid w:val="004068DF"/>
    <w:rsid w:val="00406ED1"/>
    <w:rsid w:val="004078C4"/>
    <w:rsid w:val="00411787"/>
    <w:rsid w:val="00417D4F"/>
    <w:rsid w:val="004216DF"/>
    <w:rsid w:val="00421730"/>
    <w:rsid w:val="00421A29"/>
    <w:rsid w:val="00421C91"/>
    <w:rsid w:val="00421D37"/>
    <w:rsid w:val="0042301A"/>
    <w:rsid w:val="00426BA5"/>
    <w:rsid w:val="004272CF"/>
    <w:rsid w:val="00427687"/>
    <w:rsid w:val="00432F25"/>
    <w:rsid w:val="00434FF3"/>
    <w:rsid w:val="00436BF6"/>
    <w:rsid w:val="00437B52"/>
    <w:rsid w:val="00440572"/>
    <w:rsid w:val="004424FC"/>
    <w:rsid w:val="00445318"/>
    <w:rsid w:val="00445BD0"/>
    <w:rsid w:val="00447010"/>
    <w:rsid w:val="0044732C"/>
    <w:rsid w:val="004513CA"/>
    <w:rsid w:val="00452FED"/>
    <w:rsid w:val="004541F0"/>
    <w:rsid w:val="0045690D"/>
    <w:rsid w:val="0045693B"/>
    <w:rsid w:val="004571E7"/>
    <w:rsid w:val="00457715"/>
    <w:rsid w:val="00461272"/>
    <w:rsid w:val="00461367"/>
    <w:rsid w:val="0046189C"/>
    <w:rsid w:val="00462C39"/>
    <w:rsid w:val="00462F18"/>
    <w:rsid w:val="004654EF"/>
    <w:rsid w:val="004656B4"/>
    <w:rsid w:val="00465A18"/>
    <w:rsid w:val="004669AC"/>
    <w:rsid w:val="00466DD8"/>
    <w:rsid w:val="004674BF"/>
    <w:rsid w:val="00471497"/>
    <w:rsid w:val="004726B1"/>
    <w:rsid w:val="004736B2"/>
    <w:rsid w:val="00473F1B"/>
    <w:rsid w:val="0047569B"/>
    <w:rsid w:val="0047690A"/>
    <w:rsid w:val="00476A46"/>
    <w:rsid w:val="00477A5C"/>
    <w:rsid w:val="004815EA"/>
    <w:rsid w:val="00483AF4"/>
    <w:rsid w:val="00485121"/>
    <w:rsid w:val="00486951"/>
    <w:rsid w:val="00487EB8"/>
    <w:rsid w:val="00493759"/>
    <w:rsid w:val="004941D5"/>
    <w:rsid w:val="004961F5"/>
    <w:rsid w:val="004968B7"/>
    <w:rsid w:val="00496C7B"/>
    <w:rsid w:val="004974DA"/>
    <w:rsid w:val="00497780"/>
    <w:rsid w:val="00497A76"/>
    <w:rsid w:val="004A0AE4"/>
    <w:rsid w:val="004A0EC6"/>
    <w:rsid w:val="004A16CD"/>
    <w:rsid w:val="004A44A2"/>
    <w:rsid w:val="004A5C03"/>
    <w:rsid w:val="004B14FE"/>
    <w:rsid w:val="004B2BFF"/>
    <w:rsid w:val="004B38E9"/>
    <w:rsid w:val="004B53F3"/>
    <w:rsid w:val="004B68B6"/>
    <w:rsid w:val="004C01D4"/>
    <w:rsid w:val="004C101E"/>
    <w:rsid w:val="004C13C9"/>
    <w:rsid w:val="004C3338"/>
    <w:rsid w:val="004C45E3"/>
    <w:rsid w:val="004C49D9"/>
    <w:rsid w:val="004C62FF"/>
    <w:rsid w:val="004C772E"/>
    <w:rsid w:val="004D15A8"/>
    <w:rsid w:val="004D1CC4"/>
    <w:rsid w:val="004D2EF0"/>
    <w:rsid w:val="004D4459"/>
    <w:rsid w:val="004D44E9"/>
    <w:rsid w:val="004D4E15"/>
    <w:rsid w:val="004D55FA"/>
    <w:rsid w:val="004D599B"/>
    <w:rsid w:val="004D72E9"/>
    <w:rsid w:val="004D7E50"/>
    <w:rsid w:val="004E3DB1"/>
    <w:rsid w:val="004E520B"/>
    <w:rsid w:val="004E5781"/>
    <w:rsid w:val="004E5C66"/>
    <w:rsid w:val="004E6815"/>
    <w:rsid w:val="004E7C23"/>
    <w:rsid w:val="004F09CB"/>
    <w:rsid w:val="004F2EDC"/>
    <w:rsid w:val="004F561B"/>
    <w:rsid w:val="004F57A6"/>
    <w:rsid w:val="004F6819"/>
    <w:rsid w:val="004F79D4"/>
    <w:rsid w:val="0050012F"/>
    <w:rsid w:val="00501460"/>
    <w:rsid w:val="005017FF"/>
    <w:rsid w:val="00502286"/>
    <w:rsid w:val="00502594"/>
    <w:rsid w:val="005044B4"/>
    <w:rsid w:val="005068F6"/>
    <w:rsid w:val="00507149"/>
    <w:rsid w:val="005106A4"/>
    <w:rsid w:val="00510D00"/>
    <w:rsid w:val="00511C36"/>
    <w:rsid w:val="00514ADC"/>
    <w:rsid w:val="00521CE0"/>
    <w:rsid w:val="00523863"/>
    <w:rsid w:val="005250AC"/>
    <w:rsid w:val="00525A6F"/>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AEE"/>
    <w:rsid w:val="00547B3B"/>
    <w:rsid w:val="0055080A"/>
    <w:rsid w:val="00551656"/>
    <w:rsid w:val="00551C7B"/>
    <w:rsid w:val="00553B1A"/>
    <w:rsid w:val="005545B3"/>
    <w:rsid w:val="00555BBC"/>
    <w:rsid w:val="00557C71"/>
    <w:rsid w:val="00560800"/>
    <w:rsid w:val="00560B31"/>
    <w:rsid w:val="0056105D"/>
    <w:rsid w:val="00561681"/>
    <w:rsid w:val="005619FB"/>
    <w:rsid w:val="005624A5"/>
    <w:rsid w:val="00562638"/>
    <w:rsid w:val="00562D43"/>
    <w:rsid w:val="00562F49"/>
    <w:rsid w:val="005630EA"/>
    <w:rsid w:val="00563339"/>
    <w:rsid w:val="00566F62"/>
    <w:rsid w:val="005709D0"/>
    <w:rsid w:val="0057638B"/>
    <w:rsid w:val="005810F8"/>
    <w:rsid w:val="00581BC2"/>
    <w:rsid w:val="00582FC2"/>
    <w:rsid w:val="00585816"/>
    <w:rsid w:val="005863CB"/>
    <w:rsid w:val="0058669F"/>
    <w:rsid w:val="0058675B"/>
    <w:rsid w:val="00586D05"/>
    <w:rsid w:val="00587BE5"/>
    <w:rsid w:val="005901A6"/>
    <w:rsid w:val="00590759"/>
    <w:rsid w:val="00590D0D"/>
    <w:rsid w:val="005916A9"/>
    <w:rsid w:val="005919BA"/>
    <w:rsid w:val="0059505C"/>
    <w:rsid w:val="00595294"/>
    <w:rsid w:val="005953D9"/>
    <w:rsid w:val="00595824"/>
    <w:rsid w:val="00596461"/>
    <w:rsid w:val="005A18F3"/>
    <w:rsid w:val="005A2206"/>
    <w:rsid w:val="005A2A73"/>
    <w:rsid w:val="005A4592"/>
    <w:rsid w:val="005A4EF6"/>
    <w:rsid w:val="005A5463"/>
    <w:rsid w:val="005A63F6"/>
    <w:rsid w:val="005A7C01"/>
    <w:rsid w:val="005B0334"/>
    <w:rsid w:val="005B151D"/>
    <w:rsid w:val="005B1D4C"/>
    <w:rsid w:val="005B36C0"/>
    <w:rsid w:val="005B4962"/>
    <w:rsid w:val="005B4B23"/>
    <w:rsid w:val="005B4D27"/>
    <w:rsid w:val="005B4F82"/>
    <w:rsid w:val="005B5899"/>
    <w:rsid w:val="005B62DC"/>
    <w:rsid w:val="005B7621"/>
    <w:rsid w:val="005B7A3D"/>
    <w:rsid w:val="005C08A0"/>
    <w:rsid w:val="005C1EFE"/>
    <w:rsid w:val="005C25E8"/>
    <w:rsid w:val="005C2BD3"/>
    <w:rsid w:val="005C308D"/>
    <w:rsid w:val="005C47DB"/>
    <w:rsid w:val="005C5EA8"/>
    <w:rsid w:val="005D0696"/>
    <w:rsid w:val="005D0E65"/>
    <w:rsid w:val="005D1BB6"/>
    <w:rsid w:val="005D20F2"/>
    <w:rsid w:val="005D23E3"/>
    <w:rsid w:val="005D3D42"/>
    <w:rsid w:val="005D7239"/>
    <w:rsid w:val="005D7DBE"/>
    <w:rsid w:val="005E2A77"/>
    <w:rsid w:val="005E36BC"/>
    <w:rsid w:val="005E42BA"/>
    <w:rsid w:val="005E7DAD"/>
    <w:rsid w:val="005F0578"/>
    <w:rsid w:val="005F3E28"/>
    <w:rsid w:val="005F7411"/>
    <w:rsid w:val="006004B7"/>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42F5A"/>
    <w:rsid w:val="00643AA0"/>
    <w:rsid w:val="00644C83"/>
    <w:rsid w:val="00645C4F"/>
    <w:rsid w:val="0064660C"/>
    <w:rsid w:val="00647A8A"/>
    <w:rsid w:val="00647E5C"/>
    <w:rsid w:val="00647F9C"/>
    <w:rsid w:val="006529BE"/>
    <w:rsid w:val="00652A4D"/>
    <w:rsid w:val="006536DD"/>
    <w:rsid w:val="0065402E"/>
    <w:rsid w:val="006540E0"/>
    <w:rsid w:val="00654A61"/>
    <w:rsid w:val="00655FAE"/>
    <w:rsid w:val="00656402"/>
    <w:rsid w:val="00661073"/>
    <w:rsid w:val="00661293"/>
    <w:rsid w:val="0066150F"/>
    <w:rsid w:val="00662DCB"/>
    <w:rsid w:val="00666556"/>
    <w:rsid w:val="00666BB7"/>
    <w:rsid w:val="00667414"/>
    <w:rsid w:val="0067132D"/>
    <w:rsid w:val="00672CA8"/>
    <w:rsid w:val="006765FC"/>
    <w:rsid w:val="0067740F"/>
    <w:rsid w:val="0067762C"/>
    <w:rsid w:val="00683D06"/>
    <w:rsid w:val="00683FAA"/>
    <w:rsid w:val="00690DCC"/>
    <w:rsid w:val="006912A0"/>
    <w:rsid w:val="00691354"/>
    <w:rsid w:val="00691CF8"/>
    <w:rsid w:val="00691E17"/>
    <w:rsid w:val="00691FFC"/>
    <w:rsid w:val="006923B4"/>
    <w:rsid w:val="00692D37"/>
    <w:rsid w:val="00693DB5"/>
    <w:rsid w:val="00697387"/>
    <w:rsid w:val="006A4184"/>
    <w:rsid w:val="006A47C9"/>
    <w:rsid w:val="006A4C28"/>
    <w:rsid w:val="006A4F94"/>
    <w:rsid w:val="006A6A40"/>
    <w:rsid w:val="006B00AC"/>
    <w:rsid w:val="006B08BA"/>
    <w:rsid w:val="006B0A99"/>
    <w:rsid w:val="006B0D8B"/>
    <w:rsid w:val="006B2D1D"/>
    <w:rsid w:val="006B2F42"/>
    <w:rsid w:val="006B4826"/>
    <w:rsid w:val="006B4BB5"/>
    <w:rsid w:val="006B596A"/>
    <w:rsid w:val="006C284C"/>
    <w:rsid w:val="006C335C"/>
    <w:rsid w:val="006C3C6A"/>
    <w:rsid w:val="006C47AA"/>
    <w:rsid w:val="006C536D"/>
    <w:rsid w:val="006C5F49"/>
    <w:rsid w:val="006C648F"/>
    <w:rsid w:val="006C682B"/>
    <w:rsid w:val="006C6EC0"/>
    <w:rsid w:val="006D4924"/>
    <w:rsid w:val="006D4BBC"/>
    <w:rsid w:val="006D4C4A"/>
    <w:rsid w:val="006D4D1E"/>
    <w:rsid w:val="006D6F38"/>
    <w:rsid w:val="006E09CB"/>
    <w:rsid w:val="006E1179"/>
    <w:rsid w:val="006E21C5"/>
    <w:rsid w:val="006E34BE"/>
    <w:rsid w:val="006E3807"/>
    <w:rsid w:val="006E47CD"/>
    <w:rsid w:val="006E64E2"/>
    <w:rsid w:val="006E6959"/>
    <w:rsid w:val="006F1721"/>
    <w:rsid w:val="006F1D18"/>
    <w:rsid w:val="006F239E"/>
    <w:rsid w:val="006F49E4"/>
    <w:rsid w:val="006F5C13"/>
    <w:rsid w:val="006F6F88"/>
    <w:rsid w:val="00700592"/>
    <w:rsid w:val="00703A50"/>
    <w:rsid w:val="007057A2"/>
    <w:rsid w:val="0070769E"/>
    <w:rsid w:val="00712247"/>
    <w:rsid w:val="007122E2"/>
    <w:rsid w:val="00712948"/>
    <w:rsid w:val="00712A60"/>
    <w:rsid w:val="0071567C"/>
    <w:rsid w:val="00716A25"/>
    <w:rsid w:val="00716D08"/>
    <w:rsid w:val="007175D6"/>
    <w:rsid w:val="00717C8A"/>
    <w:rsid w:val="00720E5E"/>
    <w:rsid w:val="00721BDD"/>
    <w:rsid w:val="007230AE"/>
    <w:rsid w:val="0072314B"/>
    <w:rsid w:val="00723438"/>
    <w:rsid w:val="00724964"/>
    <w:rsid w:val="00730881"/>
    <w:rsid w:val="00733806"/>
    <w:rsid w:val="00735101"/>
    <w:rsid w:val="0073593E"/>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1D1C"/>
    <w:rsid w:val="00763403"/>
    <w:rsid w:val="007730D2"/>
    <w:rsid w:val="007730F6"/>
    <w:rsid w:val="0077346A"/>
    <w:rsid w:val="00777729"/>
    <w:rsid w:val="00777EFF"/>
    <w:rsid w:val="007802F2"/>
    <w:rsid w:val="00782B43"/>
    <w:rsid w:val="0078490E"/>
    <w:rsid w:val="00785F60"/>
    <w:rsid w:val="00787EC9"/>
    <w:rsid w:val="00790021"/>
    <w:rsid w:val="00792066"/>
    <w:rsid w:val="007922D2"/>
    <w:rsid w:val="00792AE7"/>
    <w:rsid w:val="0079320C"/>
    <w:rsid w:val="007936A1"/>
    <w:rsid w:val="0079402D"/>
    <w:rsid w:val="00795868"/>
    <w:rsid w:val="007A02AB"/>
    <w:rsid w:val="007A0DF3"/>
    <w:rsid w:val="007A1EA3"/>
    <w:rsid w:val="007A277A"/>
    <w:rsid w:val="007A2B1B"/>
    <w:rsid w:val="007A33BF"/>
    <w:rsid w:val="007A4F8A"/>
    <w:rsid w:val="007A53D4"/>
    <w:rsid w:val="007A57A1"/>
    <w:rsid w:val="007A6031"/>
    <w:rsid w:val="007A6C49"/>
    <w:rsid w:val="007B1DA5"/>
    <w:rsid w:val="007B3586"/>
    <w:rsid w:val="007B7093"/>
    <w:rsid w:val="007C13D0"/>
    <w:rsid w:val="007C3447"/>
    <w:rsid w:val="007C378C"/>
    <w:rsid w:val="007C539C"/>
    <w:rsid w:val="007C79A5"/>
    <w:rsid w:val="007C7ADB"/>
    <w:rsid w:val="007C7C22"/>
    <w:rsid w:val="007D11B0"/>
    <w:rsid w:val="007D1546"/>
    <w:rsid w:val="007D295E"/>
    <w:rsid w:val="007D3363"/>
    <w:rsid w:val="007D46E8"/>
    <w:rsid w:val="007D4C0A"/>
    <w:rsid w:val="007D6351"/>
    <w:rsid w:val="007D7DBA"/>
    <w:rsid w:val="007E12BD"/>
    <w:rsid w:val="007E1521"/>
    <w:rsid w:val="007E2979"/>
    <w:rsid w:val="007E2A26"/>
    <w:rsid w:val="007E2F62"/>
    <w:rsid w:val="007E5634"/>
    <w:rsid w:val="007E7700"/>
    <w:rsid w:val="007F0AD6"/>
    <w:rsid w:val="007F202F"/>
    <w:rsid w:val="007F4E0B"/>
    <w:rsid w:val="007F5A17"/>
    <w:rsid w:val="007F735D"/>
    <w:rsid w:val="00801630"/>
    <w:rsid w:val="00801CFB"/>
    <w:rsid w:val="00806CE6"/>
    <w:rsid w:val="00807DA2"/>
    <w:rsid w:val="00810F2E"/>
    <w:rsid w:val="00812140"/>
    <w:rsid w:val="0081230D"/>
    <w:rsid w:val="008138F8"/>
    <w:rsid w:val="008141F7"/>
    <w:rsid w:val="00815C8C"/>
    <w:rsid w:val="00815DAE"/>
    <w:rsid w:val="008234E3"/>
    <w:rsid w:val="00823B46"/>
    <w:rsid w:val="00823B9F"/>
    <w:rsid w:val="00824B20"/>
    <w:rsid w:val="00826576"/>
    <w:rsid w:val="00830B2F"/>
    <w:rsid w:val="00830D91"/>
    <w:rsid w:val="00830F53"/>
    <w:rsid w:val="008319E6"/>
    <w:rsid w:val="00831B69"/>
    <w:rsid w:val="00831D30"/>
    <w:rsid w:val="0083247B"/>
    <w:rsid w:val="00832B6F"/>
    <w:rsid w:val="00833A42"/>
    <w:rsid w:val="0083406F"/>
    <w:rsid w:val="00834A97"/>
    <w:rsid w:val="008407AF"/>
    <w:rsid w:val="00841427"/>
    <w:rsid w:val="00841D1F"/>
    <w:rsid w:val="0084276F"/>
    <w:rsid w:val="00843760"/>
    <w:rsid w:val="00847737"/>
    <w:rsid w:val="008500C5"/>
    <w:rsid w:val="00850A50"/>
    <w:rsid w:val="008526DA"/>
    <w:rsid w:val="00852BBC"/>
    <w:rsid w:val="0085498F"/>
    <w:rsid w:val="00854BAD"/>
    <w:rsid w:val="00855DDC"/>
    <w:rsid w:val="008649A5"/>
    <w:rsid w:val="00864D7B"/>
    <w:rsid w:val="00867EEE"/>
    <w:rsid w:val="00867FA6"/>
    <w:rsid w:val="00871170"/>
    <w:rsid w:val="00873D97"/>
    <w:rsid w:val="008806DA"/>
    <w:rsid w:val="008809F0"/>
    <w:rsid w:val="0088110B"/>
    <w:rsid w:val="008835F8"/>
    <w:rsid w:val="00884E37"/>
    <w:rsid w:val="00886354"/>
    <w:rsid w:val="00890058"/>
    <w:rsid w:val="00890C7A"/>
    <w:rsid w:val="00891525"/>
    <w:rsid w:val="00892448"/>
    <w:rsid w:val="00892D2C"/>
    <w:rsid w:val="008973D0"/>
    <w:rsid w:val="008A03C1"/>
    <w:rsid w:val="008A119A"/>
    <w:rsid w:val="008A1A88"/>
    <w:rsid w:val="008A1C73"/>
    <w:rsid w:val="008A6198"/>
    <w:rsid w:val="008B1658"/>
    <w:rsid w:val="008B2FF6"/>
    <w:rsid w:val="008B3F6F"/>
    <w:rsid w:val="008C0128"/>
    <w:rsid w:val="008C26F2"/>
    <w:rsid w:val="008C2E93"/>
    <w:rsid w:val="008C3508"/>
    <w:rsid w:val="008C3AF3"/>
    <w:rsid w:val="008C3ECA"/>
    <w:rsid w:val="008C72B0"/>
    <w:rsid w:val="008C7642"/>
    <w:rsid w:val="008C77B3"/>
    <w:rsid w:val="008C78CD"/>
    <w:rsid w:val="008D0F45"/>
    <w:rsid w:val="008D2118"/>
    <w:rsid w:val="008D599C"/>
    <w:rsid w:val="008D6E86"/>
    <w:rsid w:val="008E1AD7"/>
    <w:rsid w:val="008E2EEF"/>
    <w:rsid w:val="008E5255"/>
    <w:rsid w:val="008E782A"/>
    <w:rsid w:val="008F090A"/>
    <w:rsid w:val="008F4EAD"/>
    <w:rsid w:val="00900233"/>
    <w:rsid w:val="009013EA"/>
    <w:rsid w:val="00901D39"/>
    <w:rsid w:val="009020D5"/>
    <w:rsid w:val="0090222F"/>
    <w:rsid w:val="0090318F"/>
    <w:rsid w:val="009035CD"/>
    <w:rsid w:val="009048C3"/>
    <w:rsid w:val="009058FA"/>
    <w:rsid w:val="009059FC"/>
    <w:rsid w:val="00905AC1"/>
    <w:rsid w:val="00911519"/>
    <w:rsid w:val="0091267A"/>
    <w:rsid w:val="009137CD"/>
    <w:rsid w:val="0091454F"/>
    <w:rsid w:val="00914911"/>
    <w:rsid w:val="00916883"/>
    <w:rsid w:val="00916891"/>
    <w:rsid w:val="00917DD3"/>
    <w:rsid w:val="00921EAF"/>
    <w:rsid w:val="009237EF"/>
    <w:rsid w:val="00924A3F"/>
    <w:rsid w:val="009265A5"/>
    <w:rsid w:val="00930A1F"/>
    <w:rsid w:val="00931473"/>
    <w:rsid w:val="00937E95"/>
    <w:rsid w:val="00940614"/>
    <w:rsid w:val="009418FA"/>
    <w:rsid w:val="00941B9D"/>
    <w:rsid w:val="00945234"/>
    <w:rsid w:val="0094728A"/>
    <w:rsid w:val="00947AC9"/>
    <w:rsid w:val="009517B1"/>
    <w:rsid w:val="00951906"/>
    <w:rsid w:val="009519BB"/>
    <w:rsid w:val="00954662"/>
    <w:rsid w:val="00954B0D"/>
    <w:rsid w:val="00954E9A"/>
    <w:rsid w:val="00955398"/>
    <w:rsid w:val="00955B12"/>
    <w:rsid w:val="0095653B"/>
    <w:rsid w:val="009568E4"/>
    <w:rsid w:val="009600B3"/>
    <w:rsid w:val="009612BA"/>
    <w:rsid w:val="00963082"/>
    <w:rsid w:val="00964326"/>
    <w:rsid w:val="00965199"/>
    <w:rsid w:val="00965401"/>
    <w:rsid w:val="00970FAE"/>
    <w:rsid w:val="009722E0"/>
    <w:rsid w:val="0097448B"/>
    <w:rsid w:val="009749DA"/>
    <w:rsid w:val="00974B22"/>
    <w:rsid w:val="00976668"/>
    <w:rsid w:val="009772CF"/>
    <w:rsid w:val="00977364"/>
    <w:rsid w:val="00977DD0"/>
    <w:rsid w:val="00980DF0"/>
    <w:rsid w:val="00980EA4"/>
    <w:rsid w:val="009814F8"/>
    <w:rsid w:val="00982885"/>
    <w:rsid w:val="009843F4"/>
    <w:rsid w:val="00986C20"/>
    <w:rsid w:val="0098713D"/>
    <w:rsid w:val="009910F9"/>
    <w:rsid w:val="00992629"/>
    <w:rsid w:val="00994104"/>
    <w:rsid w:val="00996518"/>
    <w:rsid w:val="00996540"/>
    <w:rsid w:val="009972B2"/>
    <w:rsid w:val="009A0554"/>
    <w:rsid w:val="009A0A8E"/>
    <w:rsid w:val="009A1E12"/>
    <w:rsid w:val="009A41E9"/>
    <w:rsid w:val="009A533B"/>
    <w:rsid w:val="009A5BE4"/>
    <w:rsid w:val="009A5C75"/>
    <w:rsid w:val="009A6257"/>
    <w:rsid w:val="009B153C"/>
    <w:rsid w:val="009B1AA4"/>
    <w:rsid w:val="009B452F"/>
    <w:rsid w:val="009B4C81"/>
    <w:rsid w:val="009B4CF7"/>
    <w:rsid w:val="009B69F8"/>
    <w:rsid w:val="009B704B"/>
    <w:rsid w:val="009B7C35"/>
    <w:rsid w:val="009C0508"/>
    <w:rsid w:val="009C1A90"/>
    <w:rsid w:val="009C6418"/>
    <w:rsid w:val="009C7489"/>
    <w:rsid w:val="009C7CB4"/>
    <w:rsid w:val="009D0644"/>
    <w:rsid w:val="009D14C8"/>
    <w:rsid w:val="009D172F"/>
    <w:rsid w:val="009D1C02"/>
    <w:rsid w:val="009D2067"/>
    <w:rsid w:val="009D234A"/>
    <w:rsid w:val="009D6526"/>
    <w:rsid w:val="009E5BF3"/>
    <w:rsid w:val="009E779D"/>
    <w:rsid w:val="009F16B5"/>
    <w:rsid w:val="009F2185"/>
    <w:rsid w:val="009F436E"/>
    <w:rsid w:val="009F4514"/>
    <w:rsid w:val="009F5C8D"/>
    <w:rsid w:val="009F6881"/>
    <w:rsid w:val="009F7081"/>
    <w:rsid w:val="00A00F49"/>
    <w:rsid w:val="00A0202F"/>
    <w:rsid w:val="00A045A0"/>
    <w:rsid w:val="00A0461A"/>
    <w:rsid w:val="00A058E1"/>
    <w:rsid w:val="00A06F1A"/>
    <w:rsid w:val="00A104D5"/>
    <w:rsid w:val="00A1086F"/>
    <w:rsid w:val="00A12CE9"/>
    <w:rsid w:val="00A1411F"/>
    <w:rsid w:val="00A1423E"/>
    <w:rsid w:val="00A14F1F"/>
    <w:rsid w:val="00A15B50"/>
    <w:rsid w:val="00A15F24"/>
    <w:rsid w:val="00A1697C"/>
    <w:rsid w:val="00A179D5"/>
    <w:rsid w:val="00A20156"/>
    <w:rsid w:val="00A21124"/>
    <w:rsid w:val="00A234AA"/>
    <w:rsid w:val="00A36499"/>
    <w:rsid w:val="00A418D5"/>
    <w:rsid w:val="00A434A3"/>
    <w:rsid w:val="00A43B3D"/>
    <w:rsid w:val="00A4420C"/>
    <w:rsid w:val="00A476F4"/>
    <w:rsid w:val="00A47933"/>
    <w:rsid w:val="00A50177"/>
    <w:rsid w:val="00A52050"/>
    <w:rsid w:val="00A57912"/>
    <w:rsid w:val="00A6033E"/>
    <w:rsid w:val="00A61AFA"/>
    <w:rsid w:val="00A61CA0"/>
    <w:rsid w:val="00A61D3C"/>
    <w:rsid w:val="00A63AE0"/>
    <w:rsid w:val="00A64B23"/>
    <w:rsid w:val="00A659BC"/>
    <w:rsid w:val="00A6723B"/>
    <w:rsid w:val="00A72302"/>
    <w:rsid w:val="00A72B78"/>
    <w:rsid w:val="00A740E2"/>
    <w:rsid w:val="00A74FA5"/>
    <w:rsid w:val="00A76CEC"/>
    <w:rsid w:val="00A77127"/>
    <w:rsid w:val="00A818C2"/>
    <w:rsid w:val="00A848AA"/>
    <w:rsid w:val="00A9351F"/>
    <w:rsid w:val="00A96267"/>
    <w:rsid w:val="00A97563"/>
    <w:rsid w:val="00A97C09"/>
    <w:rsid w:val="00AA1703"/>
    <w:rsid w:val="00AA2070"/>
    <w:rsid w:val="00AA3B5A"/>
    <w:rsid w:val="00AA4164"/>
    <w:rsid w:val="00AA41BB"/>
    <w:rsid w:val="00AA4FA0"/>
    <w:rsid w:val="00AB0D98"/>
    <w:rsid w:val="00AB3238"/>
    <w:rsid w:val="00AB3E1F"/>
    <w:rsid w:val="00AB4490"/>
    <w:rsid w:val="00AB4FDB"/>
    <w:rsid w:val="00AB54BE"/>
    <w:rsid w:val="00AB5FC5"/>
    <w:rsid w:val="00AC06DB"/>
    <w:rsid w:val="00AC11DC"/>
    <w:rsid w:val="00AC5862"/>
    <w:rsid w:val="00AC5BBE"/>
    <w:rsid w:val="00AC5C5C"/>
    <w:rsid w:val="00AD5174"/>
    <w:rsid w:val="00AD52E5"/>
    <w:rsid w:val="00AD5DE5"/>
    <w:rsid w:val="00AD6638"/>
    <w:rsid w:val="00AD6D79"/>
    <w:rsid w:val="00AE0124"/>
    <w:rsid w:val="00AE0262"/>
    <w:rsid w:val="00AE0768"/>
    <w:rsid w:val="00AE194A"/>
    <w:rsid w:val="00AE1B66"/>
    <w:rsid w:val="00AE31ED"/>
    <w:rsid w:val="00AE742F"/>
    <w:rsid w:val="00AF0228"/>
    <w:rsid w:val="00AF062C"/>
    <w:rsid w:val="00AF1DAD"/>
    <w:rsid w:val="00AF58F0"/>
    <w:rsid w:val="00AF7609"/>
    <w:rsid w:val="00B02B69"/>
    <w:rsid w:val="00B03D5E"/>
    <w:rsid w:val="00B03E3F"/>
    <w:rsid w:val="00B06404"/>
    <w:rsid w:val="00B06BFF"/>
    <w:rsid w:val="00B1134D"/>
    <w:rsid w:val="00B13239"/>
    <w:rsid w:val="00B149E7"/>
    <w:rsid w:val="00B24299"/>
    <w:rsid w:val="00B26583"/>
    <w:rsid w:val="00B26EFE"/>
    <w:rsid w:val="00B30276"/>
    <w:rsid w:val="00B30D10"/>
    <w:rsid w:val="00B31DE2"/>
    <w:rsid w:val="00B31E24"/>
    <w:rsid w:val="00B34232"/>
    <w:rsid w:val="00B3606D"/>
    <w:rsid w:val="00B400F2"/>
    <w:rsid w:val="00B40D8E"/>
    <w:rsid w:val="00B42661"/>
    <w:rsid w:val="00B4303D"/>
    <w:rsid w:val="00B44C06"/>
    <w:rsid w:val="00B44EEF"/>
    <w:rsid w:val="00B515E1"/>
    <w:rsid w:val="00B52FB8"/>
    <w:rsid w:val="00B56F4F"/>
    <w:rsid w:val="00B573C3"/>
    <w:rsid w:val="00B575A4"/>
    <w:rsid w:val="00B57A5A"/>
    <w:rsid w:val="00B608B2"/>
    <w:rsid w:val="00B60EA4"/>
    <w:rsid w:val="00B6251E"/>
    <w:rsid w:val="00B6273F"/>
    <w:rsid w:val="00B62973"/>
    <w:rsid w:val="00B657BD"/>
    <w:rsid w:val="00B66ACE"/>
    <w:rsid w:val="00B67F62"/>
    <w:rsid w:val="00B71A1E"/>
    <w:rsid w:val="00B778E9"/>
    <w:rsid w:val="00B8066C"/>
    <w:rsid w:val="00B823F3"/>
    <w:rsid w:val="00B840DC"/>
    <w:rsid w:val="00B84CD4"/>
    <w:rsid w:val="00B853F3"/>
    <w:rsid w:val="00B85A49"/>
    <w:rsid w:val="00B85BE2"/>
    <w:rsid w:val="00B92495"/>
    <w:rsid w:val="00B95F21"/>
    <w:rsid w:val="00B96A80"/>
    <w:rsid w:val="00BA18E6"/>
    <w:rsid w:val="00BA2718"/>
    <w:rsid w:val="00BA4E2D"/>
    <w:rsid w:val="00BA5510"/>
    <w:rsid w:val="00BA5CE3"/>
    <w:rsid w:val="00BA6C93"/>
    <w:rsid w:val="00BA6EAA"/>
    <w:rsid w:val="00BA7824"/>
    <w:rsid w:val="00BA7945"/>
    <w:rsid w:val="00BB4F72"/>
    <w:rsid w:val="00BB51C6"/>
    <w:rsid w:val="00BB7927"/>
    <w:rsid w:val="00BC0481"/>
    <w:rsid w:val="00BC064C"/>
    <w:rsid w:val="00BC0B5F"/>
    <w:rsid w:val="00BC128B"/>
    <w:rsid w:val="00BC2D9F"/>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C00C59"/>
    <w:rsid w:val="00C01279"/>
    <w:rsid w:val="00C02C3E"/>
    <w:rsid w:val="00C04880"/>
    <w:rsid w:val="00C04A78"/>
    <w:rsid w:val="00C052DE"/>
    <w:rsid w:val="00C07B1D"/>
    <w:rsid w:val="00C10D21"/>
    <w:rsid w:val="00C10E2B"/>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46897"/>
    <w:rsid w:val="00C46DF6"/>
    <w:rsid w:val="00C506B0"/>
    <w:rsid w:val="00C51C07"/>
    <w:rsid w:val="00C53AD6"/>
    <w:rsid w:val="00C56235"/>
    <w:rsid w:val="00C5784B"/>
    <w:rsid w:val="00C57E60"/>
    <w:rsid w:val="00C6081F"/>
    <w:rsid w:val="00C60D6D"/>
    <w:rsid w:val="00C63BBB"/>
    <w:rsid w:val="00C6434C"/>
    <w:rsid w:val="00C6452A"/>
    <w:rsid w:val="00C665B8"/>
    <w:rsid w:val="00C707ED"/>
    <w:rsid w:val="00C70C91"/>
    <w:rsid w:val="00C7345B"/>
    <w:rsid w:val="00C74F00"/>
    <w:rsid w:val="00C800D1"/>
    <w:rsid w:val="00C827E2"/>
    <w:rsid w:val="00C83D07"/>
    <w:rsid w:val="00C83D43"/>
    <w:rsid w:val="00C84748"/>
    <w:rsid w:val="00C84EC9"/>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27B"/>
    <w:rsid w:val="00CB235C"/>
    <w:rsid w:val="00CB45D5"/>
    <w:rsid w:val="00CC0108"/>
    <w:rsid w:val="00CC0FF3"/>
    <w:rsid w:val="00CC2937"/>
    <w:rsid w:val="00CC31A0"/>
    <w:rsid w:val="00CC4859"/>
    <w:rsid w:val="00CC5E7C"/>
    <w:rsid w:val="00CD04A2"/>
    <w:rsid w:val="00CD0790"/>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6DC9"/>
    <w:rsid w:val="00CF70C6"/>
    <w:rsid w:val="00D025EC"/>
    <w:rsid w:val="00D054D9"/>
    <w:rsid w:val="00D0766E"/>
    <w:rsid w:val="00D105F9"/>
    <w:rsid w:val="00D10B9F"/>
    <w:rsid w:val="00D115A3"/>
    <w:rsid w:val="00D145F3"/>
    <w:rsid w:val="00D17D0B"/>
    <w:rsid w:val="00D22FBC"/>
    <w:rsid w:val="00D23B7F"/>
    <w:rsid w:val="00D24C26"/>
    <w:rsid w:val="00D25159"/>
    <w:rsid w:val="00D2519A"/>
    <w:rsid w:val="00D27BD1"/>
    <w:rsid w:val="00D27FF3"/>
    <w:rsid w:val="00D30751"/>
    <w:rsid w:val="00D3148A"/>
    <w:rsid w:val="00D31495"/>
    <w:rsid w:val="00D3187A"/>
    <w:rsid w:val="00D33A3E"/>
    <w:rsid w:val="00D343CE"/>
    <w:rsid w:val="00D466E9"/>
    <w:rsid w:val="00D4754E"/>
    <w:rsid w:val="00D50723"/>
    <w:rsid w:val="00D5144A"/>
    <w:rsid w:val="00D51DC9"/>
    <w:rsid w:val="00D527F2"/>
    <w:rsid w:val="00D5303A"/>
    <w:rsid w:val="00D55B28"/>
    <w:rsid w:val="00D609B8"/>
    <w:rsid w:val="00D61738"/>
    <w:rsid w:val="00D61BDF"/>
    <w:rsid w:val="00D622FD"/>
    <w:rsid w:val="00D63223"/>
    <w:rsid w:val="00D63982"/>
    <w:rsid w:val="00D6769D"/>
    <w:rsid w:val="00D71190"/>
    <w:rsid w:val="00D73AEC"/>
    <w:rsid w:val="00D73B2A"/>
    <w:rsid w:val="00D7481A"/>
    <w:rsid w:val="00D74D5E"/>
    <w:rsid w:val="00D76060"/>
    <w:rsid w:val="00D7608A"/>
    <w:rsid w:val="00D8091E"/>
    <w:rsid w:val="00D81DC8"/>
    <w:rsid w:val="00D82730"/>
    <w:rsid w:val="00D8340D"/>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3A6A"/>
    <w:rsid w:val="00DA49E3"/>
    <w:rsid w:val="00DA6F75"/>
    <w:rsid w:val="00DB14C1"/>
    <w:rsid w:val="00DB1810"/>
    <w:rsid w:val="00DB2271"/>
    <w:rsid w:val="00DB2407"/>
    <w:rsid w:val="00DB2A30"/>
    <w:rsid w:val="00DB2B05"/>
    <w:rsid w:val="00DB3560"/>
    <w:rsid w:val="00DC1805"/>
    <w:rsid w:val="00DC1E3E"/>
    <w:rsid w:val="00DC1EE9"/>
    <w:rsid w:val="00DC3769"/>
    <w:rsid w:val="00DC6179"/>
    <w:rsid w:val="00DC621A"/>
    <w:rsid w:val="00DC6E06"/>
    <w:rsid w:val="00DD07B5"/>
    <w:rsid w:val="00DD0B09"/>
    <w:rsid w:val="00DD1A64"/>
    <w:rsid w:val="00DD2716"/>
    <w:rsid w:val="00DD28D4"/>
    <w:rsid w:val="00DD3AA6"/>
    <w:rsid w:val="00DD4681"/>
    <w:rsid w:val="00DD638D"/>
    <w:rsid w:val="00DD7964"/>
    <w:rsid w:val="00DD7B32"/>
    <w:rsid w:val="00DE340F"/>
    <w:rsid w:val="00DE4991"/>
    <w:rsid w:val="00DE49C6"/>
    <w:rsid w:val="00DE6019"/>
    <w:rsid w:val="00DE6ADD"/>
    <w:rsid w:val="00DE6D31"/>
    <w:rsid w:val="00DF10D2"/>
    <w:rsid w:val="00DF5A55"/>
    <w:rsid w:val="00DF5CAD"/>
    <w:rsid w:val="00DF6943"/>
    <w:rsid w:val="00DF737B"/>
    <w:rsid w:val="00E01219"/>
    <w:rsid w:val="00E02C5C"/>
    <w:rsid w:val="00E04D83"/>
    <w:rsid w:val="00E1061B"/>
    <w:rsid w:val="00E12304"/>
    <w:rsid w:val="00E149DA"/>
    <w:rsid w:val="00E15327"/>
    <w:rsid w:val="00E15F6D"/>
    <w:rsid w:val="00E1616A"/>
    <w:rsid w:val="00E16823"/>
    <w:rsid w:val="00E2407A"/>
    <w:rsid w:val="00E26A53"/>
    <w:rsid w:val="00E32933"/>
    <w:rsid w:val="00E32E22"/>
    <w:rsid w:val="00E32E57"/>
    <w:rsid w:val="00E3361A"/>
    <w:rsid w:val="00E33964"/>
    <w:rsid w:val="00E4009A"/>
    <w:rsid w:val="00E40673"/>
    <w:rsid w:val="00E40E8F"/>
    <w:rsid w:val="00E4128C"/>
    <w:rsid w:val="00E41564"/>
    <w:rsid w:val="00E42490"/>
    <w:rsid w:val="00E43DEC"/>
    <w:rsid w:val="00E445AF"/>
    <w:rsid w:val="00E4515B"/>
    <w:rsid w:val="00E451BD"/>
    <w:rsid w:val="00E45489"/>
    <w:rsid w:val="00E46B4A"/>
    <w:rsid w:val="00E50A33"/>
    <w:rsid w:val="00E50DA4"/>
    <w:rsid w:val="00E513B1"/>
    <w:rsid w:val="00E515A6"/>
    <w:rsid w:val="00E51F94"/>
    <w:rsid w:val="00E536FD"/>
    <w:rsid w:val="00E53815"/>
    <w:rsid w:val="00E53FFD"/>
    <w:rsid w:val="00E543A6"/>
    <w:rsid w:val="00E549E0"/>
    <w:rsid w:val="00E54C70"/>
    <w:rsid w:val="00E55AB9"/>
    <w:rsid w:val="00E579E7"/>
    <w:rsid w:val="00E605AB"/>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857DD"/>
    <w:rsid w:val="00E908EB"/>
    <w:rsid w:val="00E90A13"/>
    <w:rsid w:val="00E91834"/>
    <w:rsid w:val="00E91DA4"/>
    <w:rsid w:val="00E91DD5"/>
    <w:rsid w:val="00E92350"/>
    <w:rsid w:val="00E9273C"/>
    <w:rsid w:val="00E9445E"/>
    <w:rsid w:val="00E9545D"/>
    <w:rsid w:val="00E97057"/>
    <w:rsid w:val="00E97683"/>
    <w:rsid w:val="00EA68F4"/>
    <w:rsid w:val="00EA74A1"/>
    <w:rsid w:val="00EB248E"/>
    <w:rsid w:val="00EB2B35"/>
    <w:rsid w:val="00EB393B"/>
    <w:rsid w:val="00EB3AF3"/>
    <w:rsid w:val="00EB62F2"/>
    <w:rsid w:val="00EC22CC"/>
    <w:rsid w:val="00EC2D1A"/>
    <w:rsid w:val="00EC5E0C"/>
    <w:rsid w:val="00EC73C2"/>
    <w:rsid w:val="00EC7E5B"/>
    <w:rsid w:val="00ED0047"/>
    <w:rsid w:val="00ED1CC2"/>
    <w:rsid w:val="00ED41DC"/>
    <w:rsid w:val="00ED6B00"/>
    <w:rsid w:val="00ED6D8C"/>
    <w:rsid w:val="00ED7A7C"/>
    <w:rsid w:val="00EE11ED"/>
    <w:rsid w:val="00EE11FA"/>
    <w:rsid w:val="00EE3159"/>
    <w:rsid w:val="00EE5363"/>
    <w:rsid w:val="00EE6007"/>
    <w:rsid w:val="00EF2741"/>
    <w:rsid w:val="00EF5246"/>
    <w:rsid w:val="00EF63E7"/>
    <w:rsid w:val="00EF6708"/>
    <w:rsid w:val="00EF686E"/>
    <w:rsid w:val="00EF6CFE"/>
    <w:rsid w:val="00EF7B4F"/>
    <w:rsid w:val="00F00043"/>
    <w:rsid w:val="00F01371"/>
    <w:rsid w:val="00F024CF"/>
    <w:rsid w:val="00F02A48"/>
    <w:rsid w:val="00F0529A"/>
    <w:rsid w:val="00F05C88"/>
    <w:rsid w:val="00F06197"/>
    <w:rsid w:val="00F0627A"/>
    <w:rsid w:val="00F06CEB"/>
    <w:rsid w:val="00F100B9"/>
    <w:rsid w:val="00F136FB"/>
    <w:rsid w:val="00F140BE"/>
    <w:rsid w:val="00F14FB4"/>
    <w:rsid w:val="00F17569"/>
    <w:rsid w:val="00F17790"/>
    <w:rsid w:val="00F1783A"/>
    <w:rsid w:val="00F2173F"/>
    <w:rsid w:val="00F22C88"/>
    <w:rsid w:val="00F23235"/>
    <w:rsid w:val="00F2634A"/>
    <w:rsid w:val="00F300BB"/>
    <w:rsid w:val="00F32BA1"/>
    <w:rsid w:val="00F3368D"/>
    <w:rsid w:val="00F33A38"/>
    <w:rsid w:val="00F33BBF"/>
    <w:rsid w:val="00F34AE9"/>
    <w:rsid w:val="00F358BC"/>
    <w:rsid w:val="00F3596D"/>
    <w:rsid w:val="00F3601B"/>
    <w:rsid w:val="00F41034"/>
    <w:rsid w:val="00F45C2B"/>
    <w:rsid w:val="00F469B6"/>
    <w:rsid w:val="00F51EAC"/>
    <w:rsid w:val="00F5254C"/>
    <w:rsid w:val="00F528E7"/>
    <w:rsid w:val="00F535FB"/>
    <w:rsid w:val="00F53A6B"/>
    <w:rsid w:val="00F53B86"/>
    <w:rsid w:val="00F53CBC"/>
    <w:rsid w:val="00F542A4"/>
    <w:rsid w:val="00F54620"/>
    <w:rsid w:val="00F5494D"/>
    <w:rsid w:val="00F54D0B"/>
    <w:rsid w:val="00F55093"/>
    <w:rsid w:val="00F55555"/>
    <w:rsid w:val="00F555FC"/>
    <w:rsid w:val="00F60750"/>
    <w:rsid w:val="00F6111E"/>
    <w:rsid w:val="00F71975"/>
    <w:rsid w:val="00F7305E"/>
    <w:rsid w:val="00F74868"/>
    <w:rsid w:val="00F75054"/>
    <w:rsid w:val="00F7635D"/>
    <w:rsid w:val="00F764A6"/>
    <w:rsid w:val="00F764FA"/>
    <w:rsid w:val="00F768E7"/>
    <w:rsid w:val="00F76E67"/>
    <w:rsid w:val="00F80382"/>
    <w:rsid w:val="00F80440"/>
    <w:rsid w:val="00F81944"/>
    <w:rsid w:val="00F85333"/>
    <w:rsid w:val="00F856CF"/>
    <w:rsid w:val="00F90B49"/>
    <w:rsid w:val="00F912D2"/>
    <w:rsid w:val="00F93285"/>
    <w:rsid w:val="00F9463F"/>
    <w:rsid w:val="00F976CC"/>
    <w:rsid w:val="00F97AF8"/>
    <w:rsid w:val="00FA2261"/>
    <w:rsid w:val="00FA3EFF"/>
    <w:rsid w:val="00FA4445"/>
    <w:rsid w:val="00FA6C89"/>
    <w:rsid w:val="00FA6D87"/>
    <w:rsid w:val="00FA7FD3"/>
    <w:rsid w:val="00FB0D2A"/>
    <w:rsid w:val="00FB2056"/>
    <w:rsid w:val="00FB36DC"/>
    <w:rsid w:val="00FC0A01"/>
    <w:rsid w:val="00FC19DD"/>
    <w:rsid w:val="00FC45EB"/>
    <w:rsid w:val="00FC5864"/>
    <w:rsid w:val="00FC7076"/>
    <w:rsid w:val="00FC7E61"/>
    <w:rsid w:val="00FD21D7"/>
    <w:rsid w:val="00FD3588"/>
    <w:rsid w:val="00FD3A45"/>
    <w:rsid w:val="00FD638D"/>
    <w:rsid w:val="00FE0BAF"/>
    <w:rsid w:val="00FE0D80"/>
    <w:rsid w:val="00FE140D"/>
    <w:rsid w:val="00FE49E4"/>
    <w:rsid w:val="00FE564B"/>
    <w:rsid w:val="00FE5C08"/>
    <w:rsid w:val="00FF3E54"/>
    <w:rsid w:val="00FF4C79"/>
    <w:rsid w:val="00FF5DA8"/>
    <w:rsid w:val="00FF7BEC"/>
    <w:rsid w:val="00FF7F14"/>
    <w:rsid w:val="010806A2"/>
    <w:rsid w:val="01813921"/>
    <w:rsid w:val="05EA70BC"/>
    <w:rsid w:val="060A2773"/>
    <w:rsid w:val="06111368"/>
    <w:rsid w:val="07686159"/>
    <w:rsid w:val="0B2445EF"/>
    <w:rsid w:val="0B6D4135"/>
    <w:rsid w:val="18E52FFC"/>
    <w:rsid w:val="1959584F"/>
    <w:rsid w:val="1D31661A"/>
    <w:rsid w:val="246E3ABB"/>
    <w:rsid w:val="24AC52E4"/>
    <w:rsid w:val="24B01B8D"/>
    <w:rsid w:val="26D60A01"/>
    <w:rsid w:val="27B647F2"/>
    <w:rsid w:val="2F491B24"/>
    <w:rsid w:val="30597E68"/>
    <w:rsid w:val="33DA1595"/>
    <w:rsid w:val="37390CD0"/>
    <w:rsid w:val="3B6951FC"/>
    <w:rsid w:val="3D9F136D"/>
    <w:rsid w:val="3E883F8B"/>
    <w:rsid w:val="40921A19"/>
    <w:rsid w:val="418C0486"/>
    <w:rsid w:val="42093EA1"/>
    <w:rsid w:val="45AD7316"/>
    <w:rsid w:val="462F765E"/>
    <w:rsid w:val="46360C4D"/>
    <w:rsid w:val="503A1B36"/>
    <w:rsid w:val="51321B30"/>
    <w:rsid w:val="53854B7B"/>
    <w:rsid w:val="58D16801"/>
    <w:rsid w:val="597226E8"/>
    <w:rsid w:val="666B10DB"/>
    <w:rsid w:val="668E7BC8"/>
    <w:rsid w:val="67896D90"/>
    <w:rsid w:val="69DB08C4"/>
    <w:rsid w:val="6B2B4E19"/>
    <w:rsid w:val="6BE801F2"/>
    <w:rsid w:val="6BEB6297"/>
    <w:rsid w:val="6DB761CC"/>
    <w:rsid w:val="7017322C"/>
    <w:rsid w:val="71C7739B"/>
    <w:rsid w:val="72D751B1"/>
    <w:rsid w:val="741A1970"/>
    <w:rsid w:val="755B2606"/>
    <w:rsid w:val="76706E31"/>
    <w:rsid w:val="7896701D"/>
    <w:rsid w:val="7CF23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next w:val="1"/>
    <w:qFormat/>
    <w:uiPriority w:val="0"/>
    <w:pPr>
      <w:wordWrap w:val="0"/>
      <w:spacing w:after="160"/>
      <w:jc w:val="both"/>
      <w:outlineLvl w:val="0"/>
    </w:pPr>
    <w:rPr>
      <w:rFonts w:ascii="宋体" w:hAnsi="宋体" w:eastAsia="宋体" w:cs="宋体"/>
      <w:sz w:val="28"/>
      <w:lang w:val="en-US" w:eastAsia="zh-CN" w:bidi="ar-SA"/>
    </w:rPr>
  </w:style>
  <w:style w:type="paragraph" w:styleId="3">
    <w:name w:val="heading 2"/>
    <w:next w:val="1"/>
    <w:qFormat/>
    <w:uiPriority w:val="0"/>
    <w:pPr>
      <w:wordWrap w:val="0"/>
      <w:spacing w:after="160"/>
      <w:jc w:val="both"/>
      <w:outlineLvl w:val="1"/>
    </w:pPr>
    <w:rPr>
      <w:rFonts w:ascii="宋体" w:hAnsi="宋体" w:eastAsia="宋体" w:cs="宋体"/>
      <w:sz w:val="21"/>
      <w:lang w:val="en-US" w:eastAsia="zh-CN" w:bidi="ar-SA"/>
    </w:rPr>
  </w:style>
  <w:style w:type="paragraph" w:styleId="4">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5">
    <w:name w:val="heading 4"/>
    <w:next w:val="1"/>
    <w:qFormat/>
    <w:uiPriority w:val="0"/>
    <w:pPr>
      <w:wordWrap w:val="0"/>
      <w:spacing w:after="160"/>
      <w:ind w:left="1600" w:hanging="400"/>
      <w:jc w:val="both"/>
      <w:outlineLvl w:val="3"/>
    </w:pPr>
    <w:rPr>
      <w:rFonts w:ascii="宋体" w:hAnsi="宋体" w:eastAsia="宋体" w:cs="宋体"/>
      <w:b/>
      <w:sz w:val="21"/>
      <w:lang w:val="en-US" w:eastAsia="zh-CN" w:bidi="ar-SA"/>
    </w:rPr>
  </w:style>
  <w:style w:type="paragraph" w:styleId="6">
    <w:name w:val="heading 5"/>
    <w:next w:val="1"/>
    <w:qFormat/>
    <w:uiPriority w:val="0"/>
    <w:pPr>
      <w:wordWrap w:val="0"/>
      <w:spacing w:after="160"/>
      <w:ind w:left="1800" w:hanging="400"/>
      <w:jc w:val="both"/>
      <w:outlineLvl w:val="4"/>
    </w:pPr>
    <w:rPr>
      <w:rFonts w:ascii="宋体" w:hAnsi="宋体" w:eastAsia="宋体" w:cs="宋体"/>
      <w:sz w:val="21"/>
      <w:lang w:val="en-US" w:eastAsia="zh-CN" w:bidi="ar-SA"/>
    </w:rPr>
  </w:style>
  <w:style w:type="paragraph" w:styleId="7">
    <w:name w:val="heading 6"/>
    <w:next w:val="1"/>
    <w:qFormat/>
    <w:uiPriority w:val="0"/>
    <w:pPr>
      <w:wordWrap w:val="0"/>
      <w:spacing w:after="160"/>
      <w:ind w:left="2000" w:hanging="400"/>
      <w:jc w:val="both"/>
      <w:outlineLvl w:val="5"/>
    </w:pPr>
    <w:rPr>
      <w:rFonts w:ascii="宋体" w:hAnsi="宋体" w:eastAsia="宋体" w:cs="宋体"/>
      <w:b/>
      <w:sz w:val="21"/>
      <w:lang w:val="en-US" w:eastAsia="zh-CN" w:bidi="ar-SA"/>
    </w:rPr>
  </w:style>
  <w:style w:type="paragraph" w:styleId="8">
    <w:name w:val="heading 7"/>
    <w:next w:val="1"/>
    <w:qFormat/>
    <w:uiPriority w:val="0"/>
    <w:pPr>
      <w:wordWrap w:val="0"/>
      <w:spacing w:after="160"/>
      <w:ind w:left="2200" w:hanging="400"/>
      <w:jc w:val="both"/>
      <w:outlineLvl w:val="6"/>
    </w:pPr>
    <w:rPr>
      <w:rFonts w:ascii="宋体" w:hAnsi="宋体" w:eastAsia="宋体" w:cs="宋体"/>
      <w:sz w:val="21"/>
      <w:lang w:val="en-US" w:eastAsia="zh-CN" w:bidi="ar-SA"/>
    </w:rPr>
  </w:style>
  <w:style w:type="paragraph" w:styleId="9">
    <w:name w:val="heading 8"/>
    <w:next w:val="1"/>
    <w:qFormat/>
    <w:uiPriority w:val="0"/>
    <w:pPr>
      <w:wordWrap w:val="0"/>
      <w:spacing w:after="160"/>
      <w:ind w:left="2400" w:hanging="400"/>
      <w:jc w:val="both"/>
      <w:outlineLvl w:val="7"/>
    </w:pPr>
    <w:rPr>
      <w:rFonts w:ascii="宋体" w:hAnsi="宋体" w:eastAsia="宋体" w:cs="宋体"/>
      <w:sz w:val="21"/>
      <w:lang w:val="en-US" w:eastAsia="zh-CN" w:bidi="ar-SA"/>
    </w:rPr>
  </w:style>
  <w:style w:type="paragraph" w:styleId="10">
    <w:name w:val="heading 9"/>
    <w:next w:val="1"/>
    <w:qFormat/>
    <w:uiPriority w:val="0"/>
    <w:pPr>
      <w:wordWrap w:val="0"/>
      <w:spacing w:after="160"/>
      <w:ind w:left="2600" w:hanging="400"/>
      <w:jc w:val="both"/>
      <w:outlineLvl w:val="8"/>
    </w:pPr>
    <w:rPr>
      <w:rFonts w:ascii="宋体" w:hAnsi="宋体" w:eastAsia="宋体" w:cs="宋体"/>
      <w:sz w:val="21"/>
      <w:lang w:val="en-US" w:eastAsia="zh-CN" w:bidi="ar-SA"/>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宋体" w:hAnsi="宋体" w:eastAsia="宋体" w:cs="宋体"/>
      <w:sz w:val="21"/>
      <w:lang w:val="en-US" w:eastAsia="zh-CN" w:bidi="ar-SA"/>
    </w:rPr>
  </w:style>
  <w:style w:type="paragraph" w:styleId="12">
    <w:name w:val="Normal Indent"/>
    <w:next w:val="1"/>
    <w:qFormat/>
    <w:uiPriority w:val="0"/>
    <w:pPr>
      <w:wordWrap w:val="0"/>
      <w:ind w:left="3400"/>
      <w:jc w:val="both"/>
    </w:pPr>
    <w:rPr>
      <w:rFonts w:ascii="宋体" w:hAnsi="宋体" w:eastAsia="宋体" w:cs="宋体"/>
      <w:sz w:val="21"/>
      <w:lang w:val="en-US" w:eastAsia="zh-CN" w:bidi="ar-SA"/>
    </w:rPr>
  </w:style>
  <w:style w:type="paragraph" w:styleId="13">
    <w:name w:val="Body Text"/>
    <w:basedOn w:val="1"/>
    <w:next w:val="1"/>
    <w:qFormat/>
    <w:uiPriority w:val="0"/>
    <w:rPr>
      <w:rFonts w:ascii="宋体"/>
      <w:sz w:val="28"/>
    </w:rPr>
  </w:style>
  <w:style w:type="paragraph" w:styleId="14">
    <w:name w:val="Body Text Indent"/>
    <w:basedOn w:val="1"/>
    <w:next w:val="15"/>
    <w:link w:val="36"/>
    <w:qFormat/>
    <w:uiPriority w:val="0"/>
    <w:pPr>
      <w:spacing w:line="300" w:lineRule="auto"/>
      <w:ind w:firstLine="560"/>
    </w:pPr>
    <w:rPr>
      <w:rFonts w:ascii="宋体"/>
      <w:sz w:val="28"/>
    </w:rPr>
  </w:style>
  <w:style w:type="paragraph" w:styleId="15">
    <w:name w:val="Intense Quote"/>
    <w:next w:val="1"/>
    <w:qFormat/>
    <w:uiPriority w:val="0"/>
    <w:pPr>
      <w:wordWrap w:val="0"/>
      <w:spacing w:before="360" w:after="360"/>
      <w:ind w:left="950" w:right="950"/>
      <w:jc w:val="center"/>
    </w:pPr>
    <w:rPr>
      <w:rFonts w:ascii="宋体" w:hAnsi="宋体" w:eastAsia="宋体" w:cs="宋体"/>
      <w:i/>
      <w:sz w:val="21"/>
      <w:lang w:val="en-US" w:eastAsia="zh-CN" w:bidi="ar-SA"/>
    </w:rPr>
  </w:style>
  <w:style w:type="paragraph" w:styleId="16">
    <w:name w:val="toc 5"/>
    <w:next w:val="1"/>
    <w:qFormat/>
    <w:uiPriority w:val="0"/>
    <w:pPr>
      <w:wordWrap w:val="0"/>
      <w:ind w:left="1275"/>
      <w:jc w:val="both"/>
    </w:pPr>
    <w:rPr>
      <w:rFonts w:ascii="宋体" w:hAnsi="宋体" w:eastAsia="宋体" w:cs="宋体"/>
      <w:sz w:val="21"/>
      <w:lang w:val="en-US" w:eastAsia="zh-CN" w:bidi="ar-SA"/>
    </w:rPr>
  </w:style>
  <w:style w:type="paragraph" w:styleId="17">
    <w:name w:val="toc 3"/>
    <w:next w:val="1"/>
    <w:qFormat/>
    <w:uiPriority w:val="0"/>
    <w:pPr>
      <w:wordWrap w:val="0"/>
      <w:ind w:left="425"/>
      <w:jc w:val="both"/>
    </w:pPr>
    <w:rPr>
      <w:rFonts w:ascii="宋体" w:hAnsi="宋体" w:eastAsia="宋体" w:cs="宋体"/>
      <w:sz w:val="21"/>
      <w:lang w:val="en-US" w:eastAsia="zh-CN" w:bidi="ar-SA"/>
    </w:rPr>
  </w:style>
  <w:style w:type="paragraph" w:styleId="18">
    <w:name w:val="toc 8"/>
    <w:next w:val="1"/>
    <w:qFormat/>
    <w:uiPriority w:val="0"/>
    <w:pPr>
      <w:wordWrap w:val="0"/>
      <w:ind w:left="2550"/>
      <w:jc w:val="both"/>
    </w:pPr>
    <w:rPr>
      <w:rFonts w:ascii="宋体" w:hAnsi="宋体" w:eastAsia="宋体" w:cs="宋体"/>
      <w:sz w:val="21"/>
      <w:lang w:val="en-US" w:eastAsia="zh-CN" w:bidi="ar-SA"/>
    </w:rPr>
  </w:style>
  <w:style w:type="paragraph" w:styleId="19">
    <w:name w:val="Date"/>
    <w:basedOn w:val="1"/>
    <w:next w:val="1"/>
    <w:qFormat/>
    <w:uiPriority w:val="0"/>
    <w:pPr>
      <w:ind w:left="100"/>
    </w:pPr>
  </w:style>
  <w:style w:type="paragraph" w:styleId="20">
    <w:name w:val="Body Text Indent 2"/>
    <w:basedOn w:val="1"/>
    <w:next w:val="1"/>
    <w:qFormat/>
    <w:uiPriority w:val="0"/>
    <w:pPr>
      <w:spacing w:line="360" w:lineRule="auto"/>
      <w:ind w:firstLine="549"/>
      <w:outlineLvl w:val="0"/>
    </w:pPr>
    <w:rPr>
      <w:sz w:val="28"/>
    </w:rPr>
  </w:style>
  <w:style w:type="paragraph" w:styleId="21">
    <w:name w:val="Balloon Text"/>
    <w:basedOn w:val="1"/>
    <w:next w:val="1"/>
    <w:qFormat/>
    <w:uiPriority w:val="0"/>
    <w:rPr>
      <w:sz w:val="18"/>
    </w:rPr>
  </w:style>
  <w:style w:type="paragraph" w:styleId="22">
    <w:name w:val="footer"/>
    <w:basedOn w:val="1"/>
    <w:next w:val="23"/>
    <w:qFormat/>
    <w:uiPriority w:val="0"/>
    <w:rPr>
      <w:sz w:val="18"/>
    </w:rPr>
  </w:style>
  <w:style w:type="paragraph" w:styleId="23">
    <w:name w:val="Quote"/>
    <w:next w:val="1"/>
    <w:qFormat/>
    <w:uiPriority w:val="0"/>
    <w:pPr>
      <w:wordWrap w:val="0"/>
      <w:spacing w:before="200" w:after="160"/>
      <w:ind w:left="864" w:right="864"/>
      <w:jc w:val="center"/>
    </w:pPr>
    <w:rPr>
      <w:rFonts w:ascii="宋体" w:hAnsi="宋体" w:eastAsia="宋体" w:cs="宋体"/>
      <w:i/>
      <w:sz w:val="21"/>
      <w:lang w:val="en-US" w:eastAsia="zh-CN" w:bidi="ar-SA"/>
    </w:rPr>
  </w:style>
  <w:style w:type="paragraph" w:styleId="24">
    <w:name w:val="header"/>
    <w:basedOn w:val="1"/>
    <w:next w:val="1"/>
    <w:qFormat/>
    <w:uiPriority w:val="0"/>
    <w:pPr>
      <w:jc w:val="center"/>
    </w:pPr>
    <w:rPr>
      <w:sz w:val="18"/>
    </w:rPr>
  </w:style>
  <w:style w:type="paragraph" w:styleId="25">
    <w:name w:val="toc 4"/>
    <w:next w:val="1"/>
    <w:qFormat/>
    <w:uiPriority w:val="0"/>
    <w:pPr>
      <w:wordWrap w:val="0"/>
      <w:ind w:left="850"/>
      <w:jc w:val="both"/>
    </w:pPr>
    <w:rPr>
      <w:rFonts w:ascii="宋体" w:hAnsi="宋体" w:eastAsia="宋体" w:cs="宋体"/>
      <w:sz w:val="21"/>
      <w:lang w:val="en-US" w:eastAsia="zh-CN" w:bidi="ar-SA"/>
    </w:rPr>
  </w:style>
  <w:style w:type="paragraph" w:styleId="26">
    <w:name w:val="Subtitle"/>
    <w:next w:val="1"/>
    <w:qFormat/>
    <w:uiPriority w:val="0"/>
    <w:pPr>
      <w:wordWrap w:val="0"/>
      <w:spacing w:after="60"/>
      <w:jc w:val="center"/>
    </w:pPr>
    <w:rPr>
      <w:rFonts w:ascii="宋体" w:hAnsi="宋体" w:eastAsia="宋体" w:cs="宋体"/>
      <w:sz w:val="24"/>
      <w:lang w:val="en-US" w:eastAsia="zh-CN" w:bidi="ar-SA"/>
    </w:rPr>
  </w:style>
  <w:style w:type="paragraph" w:styleId="27">
    <w:name w:val="toc 6"/>
    <w:next w:val="1"/>
    <w:qFormat/>
    <w:uiPriority w:val="0"/>
    <w:pPr>
      <w:wordWrap w:val="0"/>
      <w:ind w:left="1700"/>
      <w:jc w:val="both"/>
    </w:pPr>
    <w:rPr>
      <w:rFonts w:ascii="宋体" w:hAnsi="宋体" w:eastAsia="宋体" w:cs="宋体"/>
      <w:sz w:val="21"/>
      <w:lang w:val="en-US" w:eastAsia="zh-CN" w:bidi="ar-SA"/>
    </w:rPr>
  </w:style>
  <w:style w:type="paragraph" w:styleId="28">
    <w:name w:val="Body Text Indent 3"/>
    <w:basedOn w:val="1"/>
    <w:next w:val="1"/>
    <w:qFormat/>
    <w:uiPriority w:val="0"/>
    <w:pPr>
      <w:spacing w:line="360" w:lineRule="auto"/>
      <w:ind w:firstLine="480"/>
      <w:outlineLvl w:val="0"/>
    </w:pPr>
    <w:rPr>
      <w:rFonts w:ascii="宋体"/>
      <w:sz w:val="24"/>
    </w:rPr>
  </w:style>
  <w:style w:type="paragraph" w:styleId="29">
    <w:name w:val="toc 2"/>
    <w:next w:val="1"/>
    <w:qFormat/>
    <w:uiPriority w:val="0"/>
    <w:pPr>
      <w:wordWrap w:val="0"/>
      <w:jc w:val="both"/>
    </w:pPr>
    <w:rPr>
      <w:rFonts w:ascii="宋体" w:hAnsi="宋体" w:eastAsia="宋体" w:cs="宋体"/>
      <w:sz w:val="21"/>
      <w:lang w:val="en-US" w:eastAsia="zh-CN" w:bidi="ar-SA"/>
    </w:rPr>
  </w:style>
  <w:style w:type="paragraph" w:styleId="30">
    <w:name w:val="toc 9"/>
    <w:next w:val="1"/>
    <w:qFormat/>
    <w:uiPriority w:val="0"/>
    <w:pPr>
      <w:wordWrap w:val="0"/>
      <w:ind w:left="2975"/>
      <w:jc w:val="both"/>
    </w:pPr>
    <w:rPr>
      <w:rFonts w:ascii="宋体" w:hAnsi="宋体" w:eastAsia="宋体" w:cs="宋体"/>
      <w:sz w:val="21"/>
      <w:lang w:val="en-US" w:eastAsia="zh-CN" w:bidi="ar-SA"/>
    </w:rPr>
  </w:style>
  <w:style w:type="character" w:styleId="33">
    <w:name w:val="Strong"/>
    <w:qFormat/>
    <w:uiPriority w:val="0"/>
    <w:rPr>
      <w:b/>
      <w:sz w:val="21"/>
    </w:rPr>
  </w:style>
  <w:style w:type="character" w:styleId="34">
    <w:name w:val="page number"/>
    <w:basedOn w:val="32"/>
    <w:qFormat/>
    <w:uiPriority w:val="0"/>
    <w:rPr>
      <w:sz w:val="20"/>
    </w:rPr>
  </w:style>
  <w:style w:type="character" w:styleId="35">
    <w:name w:val="Emphasis"/>
    <w:qFormat/>
    <w:uiPriority w:val="0"/>
    <w:rPr>
      <w:i/>
      <w:sz w:val="21"/>
    </w:rPr>
  </w:style>
  <w:style w:type="character" w:customStyle="1" w:styleId="36">
    <w:name w:val="正文文本缩进 Char"/>
    <w:basedOn w:val="32"/>
    <w:link w:val="14"/>
    <w:qFormat/>
    <w:uiPriority w:val="0"/>
    <w:rPr>
      <w:sz w:val="28"/>
    </w:rPr>
  </w:style>
  <w:style w:type="character" w:customStyle="1" w:styleId="37">
    <w:name w:val="company-content"/>
    <w:qFormat/>
    <w:uiPriority w:val="0"/>
    <w:rPr>
      <w:sz w:val="24"/>
      <w:szCs w:val="24"/>
    </w:rPr>
  </w:style>
  <w:style w:type="character" w:customStyle="1" w:styleId="38">
    <w:name w:val="明显强调1"/>
    <w:qFormat/>
    <w:uiPriority w:val="0"/>
    <w:rPr>
      <w:i/>
      <w:color w:val="auto"/>
      <w:sz w:val="21"/>
    </w:rPr>
  </w:style>
  <w:style w:type="character" w:customStyle="1" w:styleId="39">
    <w:name w:val="不明显强调1"/>
    <w:qFormat/>
    <w:uiPriority w:val="0"/>
    <w:rPr>
      <w:i/>
      <w:color w:val="auto"/>
      <w:sz w:val="21"/>
    </w:rPr>
  </w:style>
  <w:style w:type="character" w:customStyle="1" w:styleId="40">
    <w:name w:val="不明显参考1"/>
    <w:qFormat/>
    <w:uiPriority w:val="0"/>
    <w:rPr>
      <w:color w:val="auto"/>
      <w:sz w:val="21"/>
    </w:rPr>
  </w:style>
  <w:style w:type="character" w:customStyle="1" w:styleId="41">
    <w:name w:val="书籍标题1"/>
    <w:qFormat/>
    <w:uiPriority w:val="0"/>
    <w:rPr>
      <w:b/>
      <w:i/>
      <w:sz w:val="21"/>
    </w:rPr>
  </w:style>
  <w:style w:type="character" w:customStyle="1" w:styleId="42">
    <w:name w:val="明显参考1"/>
    <w:qFormat/>
    <w:uiPriority w:val="0"/>
    <w:rPr>
      <w:b/>
      <w:color w:val="auto"/>
      <w:sz w:val="21"/>
    </w:rPr>
  </w:style>
  <w:style w:type="paragraph" w:styleId="43">
    <w:name w:val="List Paragraph"/>
    <w:next w:val="1"/>
    <w:qFormat/>
    <w:uiPriority w:val="0"/>
    <w:pPr>
      <w:wordWrap w:val="0"/>
      <w:ind w:left="850"/>
      <w:jc w:val="both"/>
    </w:pPr>
    <w:rPr>
      <w:rFonts w:ascii="宋体" w:hAnsi="宋体" w:eastAsia="宋体" w:cs="宋体"/>
      <w:sz w:val="21"/>
      <w:lang w:val="en-US" w:eastAsia="zh-CN" w:bidi="ar-SA"/>
    </w:rPr>
  </w:style>
  <w:style w:type="paragraph" w:customStyle="1" w:styleId="44">
    <w:name w:val="TOC 标题1"/>
    <w:next w:val="1"/>
    <w:qFormat/>
    <w:uiPriority w:val="0"/>
    <w:pPr>
      <w:wordWrap w:val="0"/>
    </w:pPr>
    <w:rPr>
      <w:rFonts w:ascii="宋体" w:hAnsi="宋体" w:eastAsia="宋体" w:cs="宋体"/>
      <w:sz w:val="32"/>
      <w:lang w:val="en-US" w:eastAsia="zh-CN" w:bidi="ar-SA"/>
    </w:rPr>
  </w:style>
  <w:style w:type="paragraph" w:customStyle="1" w:styleId="45">
    <w:name w:val="Char"/>
    <w:basedOn w:val="1"/>
    <w:next w:val="1"/>
    <w:qFormat/>
    <w:uiPriority w:val="0"/>
    <w:pPr>
      <w:spacing w:line="360" w:lineRule="auto"/>
    </w:pPr>
    <w:rPr>
      <w:rFonts w:ascii="Tahoma"/>
      <w:sz w:val="28"/>
    </w:rPr>
  </w:style>
  <w:style w:type="paragraph" w:customStyle="1" w:styleId="46">
    <w:name w:val="Char Char Char Char Char Char Char Char Char1 Char Char Char Char Char Char Char Char Char Char"/>
    <w:basedOn w:val="1"/>
    <w:semiHidden/>
    <w:qFormat/>
    <w:uiPriority w:val="0"/>
    <w:rPr>
      <w:rFonts w:ascii="宋体" w:cs="Courier New"/>
      <w:kern w:val="2"/>
      <w:sz w:val="32"/>
      <w:szCs w:val="32"/>
    </w:rPr>
  </w:style>
  <w:style w:type="character" w:customStyle="1" w:styleId="47">
    <w:name w:val="样式 zhang正文 + 宋体 小四 Char"/>
    <w:basedOn w:val="32"/>
    <w:link w:val="48"/>
    <w:qFormat/>
    <w:uiPriority w:val="0"/>
    <w:rPr>
      <w:kern w:val="2"/>
      <w:sz w:val="24"/>
      <w:szCs w:val="22"/>
    </w:rPr>
  </w:style>
  <w:style w:type="paragraph" w:customStyle="1" w:styleId="48">
    <w:name w:val="样式 zhang正文 + 宋体 小四"/>
    <w:basedOn w:val="1"/>
    <w:link w:val="47"/>
    <w:qFormat/>
    <w:uiPriority w:val="0"/>
    <w:pPr>
      <w:autoSpaceDE w:val="0"/>
      <w:autoSpaceDN w:val="0"/>
      <w:snapToGrid w:val="0"/>
      <w:spacing w:after="120" w:line="500" w:lineRule="exact"/>
      <w:ind w:left="420" w:leftChars="200" w:firstLine="539"/>
    </w:pPr>
    <w:rPr>
      <w:rFonts w:ascii="宋体"/>
      <w:kern w:val="2"/>
      <w:sz w:val="24"/>
      <w:szCs w:val="22"/>
    </w:rPr>
  </w:style>
  <w:style w:type="paragraph" w:customStyle="1" w:styleId="49">
    <w:name w:val="Char Char Char Char Char Char Char Char Char1 Char"/>
    <w:basedOn w:val="1"/>
    <w:semiHidden/>
    <w:qFormat/>
    <w:uiPriority w:val="0"/>
    <w:rPr>
      <w:rFonts w:ascii="宋体" w:cs="Courier New"/>
      <w:kern w:val="2"/>
      <w:sz w:val="32"/>
      <w:szCs w:val="32"/>
    </w:rPr>
  </w:style>
  <w:style w:type="paragraph" w:customStyle="1" w:styleId="50">
    <w:name w:val="Char Char Char Char Char Char Char Char Char1 Char1"/>
    <w:basedOn w:val="1"/>
    <w:semiHidden/>
    <w:qFormat/>
    <w:uiPriority w:val="0"/>
    <w:rPr>
      <w:rFonts w:ascii="宋体" w:cs="Courier New"/>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5803-2286-44F0-A393-C7284B7FAED4}">
  <ds:schemaRefs/>
</ds:datastoreItem>
</file>

<file path=docProps/app.xml><?xml version="1.0" encoding="utf-8"?>
<Properties xmlns="http://schemas.openxmlformats.org/officeDocument/2006/extended-properties" xmlns:vt="http://schemas.openxmlformats.org/officeDocument/2006/docPropsVTypes">
  <Template>Normal</Template>
  <Company>f</Company>
  <Pages>4</Pages>
  <Words>1201</Words>
  <Characters>1224</Characters>
  <Lines>1</Lines>
  <Paragraphs>4</Paragraphs>
  <TotalTime>305</TotalTime>
  <ScaleCrop>false</ScaleCrop>
  <LinksUpToDate>false</LinksUpToDate>
  <CharactersWithSpaces>1261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2023-04-20T06:37:00Z</dcterms:created>
  <dc:creator>创建ISO14000环境管理体系领导小组办公室</dc:creator>
  <cp:lastModifiedBy>黄新炆</cp:lastModifiedBy>
  <cp:lastPrinted>2025-03-11T13:21:00Z</cp:lastPrinted>
  <dcterms:modified xsi:type="dcterms:W3CDTF">2025-03-24T01:29:12Z</dcterms:modified>
  <dc:title>关于刻制“</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A4C97085432D4A3093A053AA2C39B093</vt:lpwstr>
  </property>
  <property fmtid="{D5CDD505-2E9C-101B-9397-08002B2CF9AE}" pid="4" name="KSOTemplateDocerSaveRecord">
    <vt:lpwstr>eyJoZGlkIjoiNWUyNTY0NDkxYTgyZDY0YWQ3OGM2YTU3MzU4MzIwNjEiLCJ1c2VySWQiOiIxNjg2MTEzODYyIn0=</vt:lpwstr>
  </property>
</Properties>
</file>