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bCs/>
          <w:i w:val="0"/>
          <w:iCs w:val="0"/>
          <w:caps w:val="0"/>
          <w:color w:val="222222"/>
          <w:spacing w:val="8"/>
          <w:sz w:val="33"/>
          <w:szCs w:val="33"/>
        </w:rPr>
      </w:pPr>
      <w:bookmarkStart w:id="0" w:name="_GoBack"/>
      <w:bookmarkEnd w:id="0"/>
      <w:r>
        <w:rPr>
          <w:rFonts w:hint="eastAsia" w:ascii="Microsoft YaHei UI" w:hAnsi="Microsoft YaHei UI" w:eastAsia="Microsoft YaHei UI" w:cs="Microsoft YaHei UI"/>
          <w:b/>
          <w:bCs/>
          <w:i w:val="0"/>
          <w:iCs w:val="0"/>
          <w:caps w:val="0"/>
          <w:color w:val="222222"/>
          <w:spacing w:val="8"/>
          <w:sz w:val="33"/>
          <w:szCs w:val="33"/>
          <w:shd w:val="clear" w:fill="FFFFFF"/>
        </w:rPr>
        <w:t>“营商环境，优无止境”系列图文：（三）成本篇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864225" cy="5575935"/>
            <wp:effectExtent l="0" t="0" r="3175" b="5715"/>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4"/>
                    <a:stretch>
                      <a:fillRect/>
                    </a:stretch>
                  </pic:blipFill>
                  <pic:spPr>
                    <a:xfrm>
                      <a:off x="0" y="0"/>
                      <a:ext cx="5864225" cy="55759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325745" cy="7399020"/>
            <wp:effectExtent l="0" t="0" r="8255" b="11430"/>
            <wp:docPr id="18"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7"/>
                    <pic:cNvPicPr>
                      <a:picLocks noChangeAspect="1"/>
                    </pic:cNvPicPr>
                  </pic:nvPicPr>
                  <pic:blipFill>
                    <a:blip r:embed="rId5"/>
                    <a:stretch>
                      <a:fillRect/>
                    </a:stretch>
                  </pic:blipFill>
                  <pic:spPr>
                    <a:xfrm>
                      <a:off x="0" y="0"/>
                      <a:ext cx="5325745" cy="73990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249545" cy="3562985"/>
            <wp:effectExtent l="0" t="0" r="8255" b="18415"/>
            <wp:docPr id="19"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8"/>
                    <pic:cNvPicPr>
                      <a:picLocks noChangeAspect="1"/>
                    </pic:cNvPicPr>
                  </pic:nvPicPr>
                  <pic:blipFill>
                    <a:blip r:embed="rId6"/>
                    <a:stretch>
                      <a:fillRect/>
                    </a:stretch>
                  </pic:blipFill>
                  <pic:spPr>
                    <a:xfrm>
                      <a:off x="0" y="0"/>
                      <a:ext cx="5249545" cy="35629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468620" cy="7150735"/>
            <wp:effectExtent l="0" t="0" r="17780" b="12065"/>
            <wp:docPr id="23" name="图片 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IMG_259"/>
                    <pic:cNvPicPr>
                      <a:picLocks noChangeAspect="1"/>
                    </pic:cNvPicPr>
                  </pic:nvPicPr>
                  <pic:blipFill>
                    <a:blip r:embed="rId7"/>
                    <a:stretch>
                      <a:fillRect/>
                    </a:stretch>
                  </pic:blipFill>
                  <pic:spPr>
                    <a:xfrm>
                      <a:off x="0" y="0"/>
                      <a:ext cx="5468620" cy="71507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705475" cy="5990590"/>
            <wp:effectExtent l="0" t="0" r="9525" b="10160"/>
            <wp:docPr id="20" name="图片 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60"/>
                    <pic:cNvPicPr>
                      <a:picLocks noChangeAspect="1"/>
                    </pic:cNvPicPr>
                  </pic:nvPicPr>
                  <pic:blipFill>
                    <a:blip r:embed="rId8"/>
                    <a:stretch>
                      <a:fillRect/>
                    </a:stretch>
                  </pic:blipFill>
                  <pic:spPr>
                    <a:xfrm>
                      <a:off x="0" y="0"/>
                      <a:ext cx="5705475" cy="5990590"/>
                    </a:xfrm>
                    <a:prstGeom prst="rect">
                      <a:avLst/>
                    </a:prstGeom>
                    <a:noFill/>
                    <a:ln w="9525">
                      <a:noFill/>
                    </a:ln>
                  </pic:spPr>
                </pic:pic>
              </a:graphicData>
            </a:graphic>
          </wp:inline>
        </w:drawing>
      </w:r>
    </w:p>
    <w:p>
      <w: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anchor distT="0" distB="0" distL="114300" distR="114300" simplePos="0" relativeHeight="251659264" behindDoc="1" locked="0" layoutInCell="1" allowOverlap="1">
            <wp:simplePos x="0" y="0"/>
            <wp:positionH relativeFrom="column">
              <wp:posOffset>27940</wp:posOffset>
            </wp:positionH>
            <wp:positionV relativeFrom="paragraph">
              <wp:posOffset>107315</wp:posOffset>
            </wp:positionV>
            <wp:extent cx="5238750" cy="1124585"/>
            <wp:effectExtent l="0" t="0" r="0" b="18415"/>
            <wp:wrapNone/>
            <wp:docPr id="24" name="图片 2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IMG_261"/>
                    <pic:cNvPicPr>
                      <a:picLocks noChangeAspect="1"/>
                    </pic:cNvPicPr>
                  </pic:nvPicPr>
                  <pic:blipFill>
                    <a:blip r:embed="rId9"/>
                    <a:stretch>
                      <a:fillRect/>
                    </a:stretch>
                  </pic:blipFill>
                  <pic:spPr>
                    <a:xfrm>
                      <a:off x="0" y="0"/>
                      <a:ext cx="5238750" cy="1124585"/>
                    </a:xfrm>
                    <a:prstGeom prst="rect">
                      <a:avLst/>
                    </a:prstGeom>
                    <a:noFill/>
                    <a:ln w="9525">
                      <a:noFill/>
                    </a:ln>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bl>
      <w:tblPr>
        <w:tblStyle w:val="4"/>
        <w:tblpPr w:leftFromText="180" w:rightFromText="180" w:vertAnchor="text" w:horzAnchor="page" w:tblpX="2548" w:tblpY="658"/>
        <w:tblOverlap w:val="never"/>
        <w:tblW w:w="7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2"/>
        <w:gridCol w:w="532"/>
        <w:gridCol w:w="1067"/>
        <w:gridCol w:w="793"/>
        <w:gridCol w:w="714"/>
        <w:gridCol w:w="3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43"/>
                <w:szCs w:val="43"/>
              </w:rPr>
              <w:t>个人购买一手住宅相关税费计算表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0" w:type="auto"/>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人</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税种</w:t>
            </w:r>
          </w:p>
        </w:tc>
        <w:tc>
          <w:tcPr>
            <w:tcW w:w="0" w:type="auto"/>
            <w:gridSpan w:val="2"/>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适用条件</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税费</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rPr>
        <w:tc>
          <w:tcPr>
            <w:tcW w:w="0" w:type="auto"/>
            <w:vMerge w:val="restart"/>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方</w:t>
            </w:r>
          </w:p>
        </w:tc>
        <w:tc>
          <w:tcPr>
            <w:tcW w:w="0" w:type="auto"/>
            <w:vMerge w:val="restart"/>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契税</w:t>
            </w: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个人购买家庭唯一住房</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面积90平方米及以下</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计税金额×1%</w:t>
            </w:r>
          </w:p>
        </w:tc>
        <w:tc>
          <w:tcPr>
            <w:tcW w:w="0" w:type="auto"/>
            <w:vMerge w:val="restart"/>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sz w:val="24"/>
                <w:szCs w:val="24"/>
              </w:rPr>
              <w:t>依据：财政部 国家税务总局 住房城乡建设部《关于调整房地产交易环节契税、营业税优惠政策的通知》（财税﹝2016﹞23号）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面积90平方米以上</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计税金额×1.5%</w:t>
            </w:r>
          </w:p>
        </w:tc>
        <w:tc>
          <w:tcPr>
            <w:tcW w:w="0" w:type="auto"/>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个人购买家庭第二套改善性住房</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面积90平方米及以下</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计税金额×1%</w:t>
            </w:r>
          </w:p>
        </w:tc>
        <w:tc>
          <w:tcPr>
            <w:tcW w:w="0" w:type="auto"/>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面积90平方米以上</w:t>
            </w:r>
          </w:p>
        </w:tc>
        <w:tc>
          <w:tcPr>
            <w:tcW w:w="0" w:type="auto"/>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计税金额×2%</w:t>
            </w:r>
          </w:p>
        </w:tc>
        <w:tc>
          <w:tcPr>
            <w:tcW w:w="0" w:type="auto"/>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个人购买家庭第三套及以上</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计税金额×3%</w:t>
            </w:r>
          </w:p>
        </w:tc>
        <w:tc>
          <w:tcPr>
            <w:tcW w:w="0" w:type="auto"/>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印花税</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合同时间在2008年11月1日（含）后的住宅</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免征</w:t>
            </w:r>
          </w:p>
        </w:tc>
        <w:tc>
          <w:tcPr>
            <w:tcW w:w="0" w:type="auto"/>
            <w:vMerge w:val="restart"/>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宋体" w:hAnsi="宋体" w:eastAsia="宋体" w:cs="宋体"/>
                <w:color w:val="000000"/>
                <w:sz w:val="24"/>
                <w:szCs w:val="24"/>
              </w:rPr>
              <w:t>依据：财政部 国家税务总局《关于调整初登场交易环节税收政策的通知》财税﹝2008﹞137号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sz w:val="24"/>
                <w:szCs w:val="24"/>
              </w:rPr>
              <w:t>合同时间在2008年10月31日（含）前的住宅</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计税金额×0.05%</w:t>
            </w: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6"/>
          <w:rFonts w:hint="eastAsia" w:ascii="宋体" w:hAnsi="宋体" w:eastAsia="宋体" w:cs="宋体"/>
          <w:color w:val="000000"/>
          <w:sz w:val="43"/>
          <w:szCs w:val="43"/>
        </w:rPr>
      </w:pPr>
      <w:r>
        <w:rPr>
          <w:rStyle w:val="6"/>
          <w:rFonts w:hint="eastAsia" w:ascii="宋体" w:hAnsi="宋体" w:eastAsia="宋体" w:cs="宋体"/>
          <w:color w:val="000000"/>
          <w:sz w:val="43"/>
          <w:szCs w:val="43"/>
        </w:rPr>
        <w:br w:type="page"/>
      </w:r>
    </w:p>
    <w:tbl>
      <w:tblPr>
        <w:tblStyle w:val="4"/>
        <w:tblW w:w="7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2"/>
        <w:gridCol w:w="614"/>
        <w:gridCol w:w="1143"/>
        <w:gridCol w:w="4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0" w:type="auto"/>
            <w:gridSpan w:val="4"/>
            <w:tcBorders>
              <w:top w:val="single" w:color="auto" w:sz="6" w:space="0"/>
              <w:left w:val="single" w:color="auto" w:sz="6" w:space="0"/>
              <w:bottom w:val="single" w:color="000000" w:sz="6" w:space="0"/>
              <w:right w:val="single" w:color="auto"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43"/>
                <w:szCs w:val="43"/>
              </w:rPr>
              <w:t>个人购买一手非住宅相关税费计算表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jc w:val="center"/>
        </w:trPr>
        <w:tc>
          <w:tcPr>
            <w:tcW w:w="0" w:type="auto"/>
            <w:tcBorders>
              <w:top w:val="nil"/>
              <w:left w:val="single" w:color="auto"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人</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税种</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税费</w:t>
            </w:r>
          </w:p>
        </w:tc>
        <w:tc>
          <w:tcPr>
            <w:tcW w:w="0" w:type="auto"/>
            <w:tcBorders>
              <w:top w:val="single" w:color="000000" w:sz="6" w:space="0"/>
              <w:left w:val="nil"/>
              <w:bottom w:val="single" w:color="000000" w:sz="6" w:space="0"/>
              <w:right w:val="single" w:color="auto"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0" w:type="auto"/>
            <w:vMerge w:val="restart"/>
            <w:tcBorders>
              <w:top w:val="nil"/>
              <w:left w:val="single" w:color="auto"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方</w:t>
            </w:r>
          </w:p>
        </w:tc>
        <w:tc>
          <w:tcPr>
            <w:tcW w:w="0" w:type="auto"/>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契税</w:t>
            </w:r>
          </w:p>
        </w:tc>
        <w:tc>
          <w:tcPr>
            <w:tcW w:w="0" w:type="auto"/>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计税金额×3%</w:t>
            </w:r>
          </w:p>
        </w:tc>
        <w:tc>
          <w:tcPr>
            <w:tcW w:w="0" w:type="auto"/>
            <w:tcBorders>
              <w:top w:val="nil"/>
              <w:left w:val="nil"/>
              <w:bottom w:val="single" w:color="000000" w:sz="6" w:space="0"/>
              <w:right w:val="single" w:color="auto"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sz w:val="24"/>
                <w:szCs w:val="24"/>
              </w:rPr>
              <w:t>依据：福建省人民政府关于修改《福建省贯彻〈中华人民共和国契税暂行条例〉实施办法》中：第五条 契税的计税依据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0" w:hRule="atLeast"/>
          <w:jc w:val="center"/>
        </w:trPr>
        <w:tc>
          <w:tcPr>
            <w:tcW w:w="0" w:type="auto"/>
            <w:vMerge w:val="continue"/>
            <w:tcBorders>
              <w:top w:val="nil"/>
              <w:left w:val="single" w:color="auto"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single" w:color="000000" w:sz="6" w:space="0"/>
              <w:left w:val="nil"/>
              <w:bottom w:val="single" w:color="auto"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印花税</w:t>
            </w:r>
          </w:p>
        </w:tc>
        <w:tc>
          <w:tcPr>
            <w:tcW w:w="0" w:type="auto"/>
            <w:tcBorders>
              <w:top w:val="single" w:color="000000" w:sz="6" w:space="0"/>
              <w:left w:val="nil"/>
              <w:bottom w:val="single" w:color="auto"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2"/>
                <w:szCs w:val="22"/>
              </w:rPr>
              <w:t>计税金额×0.05%</w:t>
            </w:r>
            <w:r>
              <w:rPr>
                <w:rStyle w:val="6"/>
                <w:rFonts w:hint="eastAsia" w:ascii="宋体" w:hAnsi="宋体" w:eastAsia="宋体" w:cs="宋体"/>
                <w:color w:val="000000"/>
                <w:sz w:val="36"/>
                <w:szCs w:val="36"/>
              </w:rPr>
              <w:t>/</w:t>
            </w:r>
            <w:r>
              <w:rPr>
                <w:rFonts w:hint="eastAsia" w:ascii="宋体" w:hAnsi="宋体" w:eastAsia="宋体" w:cs="宋体"/>
                <w:color w:val="000000"/>
                <w:sz w:val="22"/>
                <w:szCs w:val="22"/>
              </w:rPr>
              <w:t>0.025%</w:t>
            </w:r>
          </w:p>
        </w:tc>
        <w:tc>
          <w:tcPr>
            <w:tcW w:w="0" w:type="auto"/>
            <w:tcBorders>
              <w:top w:val="nil"/>
              <w:left w:val="nil"/>
              <w:bottom w:val="single" w:color="auto" w:sz="6" w:space="0"/>
              <w:right w:val="single" w:color="auto"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center"/>
            </w:pPr>
            <w:r>
              <w:rPr>
                <w:rFonts w:hint="eastAsia" w:ascii="宋体" w:hAnsi="宋体" w:eastAsia="宋体" w:cs="宋体"/>
                <w:color w:val="000000"/>
                <w:sz w:val="24"/>
                <w:szCs w:val="24"/>
              </w:rPr>
              <w:t>依据：合同时间为2019年1月1日（含）以后的，对增值税小规模纳税人减按50%征收印花税。（财税﹝2019﹞13号）</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43"/>
          <w:szCs w:val="4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6"/>
          <w:rFonts w:hint="eastAsia" w:ascii="宋体" w:hAnsi="宋体" w:eastAsia="宋体" w:cs="宋体"/>
          <w:color w:val="000000"/>
          <w:sz w:val="43"/>
          <w:szCs w:val="43"/>
        </w:rPr>
      </w:pPr>
      <w:r>
        <w:rPr>
          <w:rStyle w:val="6"/>
          <w:rFonts w:hint="eastAsia" w:ascii="宋体" w:hAnsi="宋体" w:eastAsia="宋体" w:cs="宋体"/>
          <w:color w:val="000000"/>
          <w:sz w:val="43"/>
          <w:szCs w:val="43"/>
        </w:rPr>
        <w:br w:type="page"/>
      </w:r>
    </w:p>
    <w:tbl>
      <w:tblPr>
        <w:tblStyle w:val="4"/>
        <w:tblW w:w="6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1"/>
        <w:gridCol w:w="599"/>
        <w:gridCol w:w="725"/>
        <w:gridCol w:w="588"/>
        <w:gridCol w:w="604"/>
        <w:gridCol w:w="561"/>
        <w:gridCol w:w="3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jc w:val="center"/>
        </w:trPr>
        <w:tc>
          <w:tcPr>
            <w:tcW w:w="6997" w:type="dxa"/>
            <w:gridSpan w:val="7"/>
            <w:tcBorders>
              <w:top w:val="single" w:color="000000" w:sz="6" w:space="0"/>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43"/>
                <w:szCs w:val="43"/>
              </w:rPr>
              <w:t>个人转让住宅相关税费计算表（核定征收）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jc w:val="center"/>
        </w:trPr>
        <w:tc>
          <w:tcPr>
            <w:tcW w:w="0" w:type="auto"/>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纳税人</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税种</w:t>
            </w:r>
          </w:p>
        </w:tc>
        <w:tc>
          <w:tcPr>
            <w:tcW w:w="0" w:type="auto"/>
            <w:gridSpan w:val="2"/>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适用条件</w:t>
            </w:r>
          </w:p>
        </w:tc>
        <w:tc>
          <w:tcPr>
            <w:tcW w:w="0" w:type="auto"/>
            <w:gridSpan w:val="2"/>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税费</w:t>
            </w:r>
          </w:p>
        </w:tc>
        <w:tc>
          <w:tcPr>
            <w:tcW w:w="3439" w:type="dxa"/>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0" w:type="auto"/>
            <w:vMerge w:val="restart"/>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方</w:t>
            </w:r>
          </w:p>
        </w:tc>
        <w:tc>
          <w:tcPr>
            <w:tcW w:w="0" w:type="auto"/>
            <w:vMerge w:val="restart"/>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增值税及附加</w:t>
            </w:r>
          </w:p>
        </w:tc>
        <w:tc>
          <w:tcPr>
            <w:tcW w:w="0" w:type="auto"/>
            <w:gridSpan w:val="2"/>
            <w:vMerge w:val="restart"/>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取得不动产权证未满2年</w:t>
            </w:r>
          </w:p>
        </w:tc>
        <w:tc>
          <w:tcPr>
            <w:tcW w:w="0" w:type="auto"/>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增值税</w:t>
            </w:r>
          </w:p>
        </w:tc>
        <w:tc>
          <w:tcPr>
            <w:tcW w:w="0" w:type="auto"/>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计税金额×5%</w:t>
            </w:r>
          </w:p>
        </w:tc>
        <w:tc>
          <w:tcPr>
            <w:tcW w:w="3439" w:type="dxa"/>
            <w:vMerge w:val="restart"/>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依据：合同时间为2019年1月1日（含）以后的，对增值税小规模纳税人减按50%征收附加税（包括城市维护建设税、地方教育费附加、教育费附加）。（财税﹝2019﹞13号）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城市维护建设税</w:t>
            </w: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增值税额×7%</w:t>
            </w:r>
          </w:p>
        </w:tc>
        <w:tc>
          <w:tcPr>
            <w:tcW w:w="3439" w:type="dxa"/>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地方教育费附加</w:t>
            </w: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增值税额×3%</w:t>
            </w:r>
          </w:p>
        </w:tc>
        <w:tc>
          <w:tcPr>
            <w:tcW w:w="3439" w:type="dxa"/>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教育费附加</w:t>
            </w: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增值税额×2%</w:t>
            </w:r>
          </w:p>
        </w:tc>
        <w:tc>
          <w:tcPr>
            <w:tcW w:w="3439" w:type="dxa"/>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取得不动产权证满2年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（含2年）</w:t>
            </w:r>
          </w:p>
        </w:tc>
        <w:tc>
          <w:tcPr>
            <w:tcW w:w="0" w:type="auto"/>
            <w:gridSpan w:val="2"/>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免征</w:t>
            </w:r>
          </w:p>
        </w:tc>
        <w:tc>
          <w:tcPr>
            <w:tcW w:w="3439" w:type="dxa"/>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个人所得税</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个人转让普通住宅（未满5年的</w:t>
            </w:r>
            <w:r>
              <w:rPr>
                <w:rStyle w:val="6"/>
                <w:rFonts w:hint="eastAsia" w:ascii="宋体" w:hAnsi="宋体" w:eastAsia="宋体" w:cs="宋体"/>
                <w:color w:val="000000"/>
                <w:sz w:val="24"/>
                <w:szCs w:val="24"/>
              </w:rPr>
              <w:t>/</w:t>
            </w:r>
            <w:r>
              <w:rPr>
                <w:rFonts w:hint="eastAsia" w:ascii="宋体" w:hAnsi="宋体" w:eastAsia="宋体" w:cs="宋体"/>
                <w:color w:val="000000"/>
                <w:sz w:val="24"/>
                <w:szCs w:val="24"/>
              </w:rPr>
              <w:t>满5年但非唯一）</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计税金额×1%</w:t>
            </w:r>
          </w:p>
        </w:tc>
        <w:tc>
          <w:tcPr>
            <w:tcW w:w="3439" w:type="dxa"/>
            <w:vMerge w:val="restart"/>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依据：国家税务总局 福州市税务局《关于个人房屋转让所得税有关问题的公告》（2018年第3号）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依据：福建省住房城乡建设厅《关于》促进房地产市场平稳发展的若干意见》：我市现五城区享受优惠普通商品住房条件为：住宅小区建筑容积率在1.0（含1.0）以上，且单套建筑面积在144平方米及以下。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个人转让非普通住宅（未满5年的</w:t>
            </w:r>
            <w:r>
              <w:rPr>
                <w:rStyle w:val="6"/>
                <w:rFonts w:hint="eastAsia" w:ascii="宋体" w:hAnsi="宋体" w:eastAsia="宋体" w:cs="宋体"/>
                <w:color w:val="000000"/>
                <w:sz w:val="24"/>
                <w:szCs w:val="24"/>
              </w:rPr>
              <w:t>/</w:t>
            </w:r>
            <w:r>
              <w:rPr>
                <w:rFonts w:hint="eastAsia" w:ascii="宋体" w:hAnsi="宋体" w:eastAsia="宋体" w:cs="宋体"/>
                <w:color w:val="000000"/>
                <w:sz w:val="24"/>
                <w:szCs w:val="24"/>
              </w:rPr>
              <w:t>满5年但非唯一）</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计税金额×1.5%</w:t>
            </w:r>
          </w:p>
        </w:tc>
        <w:tc>
          <w:tcPr>
            <w:tcW w:w="3439" w:type="dxa"/>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个人转让自用5年以上且为家庭唯一生活用房</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免征</w:t>
            </w:r>
          </w:p>
        </w:tc>
        <w:tc>
          <w:tcPr>
            <w:tcW w:w="3439" w:type="dxa"/>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土地增值税</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转让住宅</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免征</w:t>
            </w:r>
          </w:p>
        </w:tc>
        <w:tc>
          <w:tcPr>
            <w:tcW w:w="3439" w:type="dxa"/>
            <w:vMerge w:val="restart"/>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sz w:val="24"/>
                <w:szCs w:val="24"/>
              </w:rPr>
              <w:t>依据：财政部 国家税务总局《关于调整初登场交易环节税收政策的通知》财税﹝2008﹞137号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印花税</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转让住宅</w:t>
            </w:r>
          </w:p>
        </w:tc>
        <w:tc>
          <w:tcPr>
            <w:tcW w:w="0" w:type="auto"/>
            <w:gridSpan w:val="2"/>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免征</w:t>
            </w:r>
          </w:p>
        </w:tc>
        <w:tc>
          <w:tcPr>
            <w:tcW w:w="3439" w:type="dxa"/>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方</w:t>
            </w: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契税</w:t>
            </w: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个人购买家庭唯一住房</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面积90平方米及以下</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计税金额×1%</w:t>
            </w:r>
          </w:p>
        </w:tc>
        <w:tc>
          <w:tcPr>
            <w:tcW w:w="3439" w:type="dxa"/>
            <w:vMerge w:val="restart"/>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000000"/>
                <w:sz w:val="24"/>
                <w:szCs w:val="24"/>
              </w:rPr>
              <w:t>依据：财政部 国家税务总局 住房城乡建设部《关于调整房地产交易环节契税、营业税优惠政策的通知》（财税﹝2016﹞23号）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面积90平方米以上</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计税金额×1.5%</w:t>
            </w:r>
          </w:p>
        </w:tc>
        <w:tc>
          <w:tcPr>
            <w:tcW w:w="3439" w:type="dxa"/>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个人购买家庭第二套改善性住房</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面积90平方米及以下</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计税金额×1%</w:t>
            </w:r>
          </w:p>
        </w:tc>
        <w:tc>
          <w:tcPr>
            <w:tcW w:w="3439" w:type="dxa"/>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面积90平方米以上</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计税金额×2%</w:t>
            </w:r>
          </w:p>
        </w:tc>
        <w:tc>
          <w:tcPr>
            <w:tcW w:w="3439" w:type="dxa"/>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个人购买家庭第三套及以上</w:t>
            </w:r>
          </w:p>
        </w:tc>
        <w:tc>
          <w:tcPr>
            <w:tcW w:w="0" w:type="auto"/>
            <w:gridSpan w:val="2"/>
            <w:tcBorders>
              <w:top w:val="nil"/>
              <w:left w:val="nil"/>
              <w:bottom w:val="single" w:color="auto"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计税金额×3%</w:t>
            </w:r>
          </w:p>
        </w:tc>
        <w:tc>
          <w:tcPr>
            <w:tcW w:w="3439" w:type="dxa"/>
            <w:tcBorders>
              <w:top w:val="nil"/>
              <w:left w:val="nil"/>
              <w:bottom w:val="single" w:color="auto" w:sz="6" w:space="0"/>
              <w:right w:val="single" w:color="000000" w:sz="6" w:space="0"/>
            </w:tcBorders>
            <w:shd w:val="clear" w:color="auto" w:fill="auto"/>
            <w:tcMar>
              <w:top w:w="15" w:type="dxa"/>
              <w:left w:w="45" w:type="dxa"/>
              <w:bottom w:w="15" w:type="dxa"/>
              <w:right w:w="4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印花税</w:t>
            </w:r>
          </w:p>
        </w:tc>
        <w:tc>
          <w:tcPr>
            <w:tcW w:w="0" w:type="auto"/>
            <w:gridSpan w:val="2"/>
            <w:tcBorders>
              <w:top w:val="nil"/>
              <w:left w:val="nil"/>
              <w:bottom w:val="single" w:color="000000" w:sz="6" w:space="0"/>
              <w:right w:val="single" w:color="auto"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受让人为自然人</w:t>
            </w:r>
          </w:p>
        </w:tc>
        <w:tc>
          <w:tcPr>
            <w:tcW w:w="0" w:type="auto"/>
            <w:gridSpan w:val="2"/>
            <w:tcBorders>
              <w:top w:val="nil"/>
              <w:left w:val="nil"/>
              <w:bottom w:val="single" w:color="auto"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免征</w:t>
            </w:r>
          </w:p>
        </w:tc>
        <w:tc>
          <w:tcPr>
            <w:tcW w:w="3439" w:type="dxa"/>
            <w:tcBorders>
              <w:top w:val="nil"/>
              <w:left w:val="nil"/>
              <w:bottom w:val="single" w:color="auto" w:sz="6" w:space="0"/>
              <w:right w:val="single" w:color="auto"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000000"/>
                <w:sz w:val="24"/>
                <w:szCs w:val="24"/>
              </w:rPr>
              <w:t>依据：财政部 国家税务总局《关于调整初登场交易环节税收政策的通知》财税﹝2008﹞137号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受让人为非自然人</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计税金额×0.05%</w:t>
            </w:r>
            <w:r>
              <w:rPr>
                <w:rStyle w:val="6"/>
                <w:rFonts w:hint="eastAsia" w:ascii="宋体" w:hAnsi="宋体" w:eastAsia="宋体" w:cs="宋体"/>
                <w:color w:val="000000"/>
                <w:sz w:val="24"/>
                <w:szCs w:val="24"/>
              </w:rPr>
              <w:t>/</w:t>
            </w:r>
            <w:r>
              <w:rPr>
                <w:rFonts w:hint="eastAsia" w:ascii="宋体" w:hAnsi="宋体" w:eastAsia="宋体" w:cs="宋体"/>
                <w:color w:val="000000"/>
                <w:sz w:val="24"/>
                <w:szCs w:val="24"/>
              </w:rPr>
              <w:t>0.025%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（对增值税小规模纳税人印花税减半征收）</w:t>
            </w:r>
          </w:p>
        </w:tc>
        <w:tc>
          <w:tcPr>
            <w:tcW w:w="3439" w:type="dxa"/>
            <w:tcBorders>
              <w:top w:val="nil"/>
              <w:left w:val="nil"/>
              <w:bottom w:val="single" w:color="000000" w:sz="6" w:space="0"/>
              <w:right w:val="single" w:color="auto"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000000"/>
                <w:sz w:val="24"/>
                <w:szCs w:val="24"/>
              </w:rPr>
              <w:t>依据：合同时间为2019年1月1日（含）以后的，对增值税小规模纳税人减按50%征收印花税。（财税﹝2019﹞13号）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6997" w:type="dxa"/>
            <w:gridSpan w:val="7"/>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000000"/>
                <w:sz w:val="24"/>
                <w:szCs w:val="24"/>
              </w:rPr>
              <w:t>注：1、拍卖房屋按3%的税率核定征收个人所得税。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000000"/>
                <w:sz w:val="24"/>
                <w:szCs w:val="24"/>
              </w:rPr>
              <w:t>2、直系亲属之间（含父母、子女、兄弟姐妹等）赠与可免征增值税、土地增值税、个人所得税，契税按3%征收。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000000"/>
                <w:sz w:val="24"/>
                <w:szCs w:val="24"/>
              </w:rPr>
              <w:t>4、个人将取得未满2年的住房对外销售的，增值税按全额征收。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000000"/>
                <w:sz w:val="24"/>
                <w:szCs w:val="24"/>
              </w:rPr>
              <w:t>5、国家税务总局 财政部 建设部关于加强初登场税收管理的通知（国税发﹝2005﹞89号）规定：个人购买住房以取得的房屋产权证或契税完税证明上注明的时间作为其购买房屋时间。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rPr>
          <w:rFonts w:hint="eastAsia" w:ascii="宋体" w:hAnsi="宋体" w:eastAsia="宋体" w:cs="宋体"/>
          <w:color w:val="000000"/>
          <w:sz w:val="43"/>
          <w:szCs w:val="43"/>
        </w:rPr>
      </w:pPr>
      <w:r>
        <w:rPr>
          <w:rFonts w:hint="eastAsia" w:ascii="宋体" w:hAnsi="宋体" w:eastAsia="宋体" w:cs="宋体"/>
          <w:color w:val="000000"/>
          <w:sz w:val="43"/>
          <w:szCs w:val="43"/>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43"/>
          <w:szCs w:val="43"/>
        </w:rPr>
      </w:pPr>
    </w:p>
    <w:tbl>
      <w:tblPr>
        <w:tblStyle w:val="4"/>
        <w:tblW w:w="7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2"/>
        <w:gridCol w:w="719"/>
        <w:gridCol w:w="771"/>
        <w:gridCol w:w="702"/>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jc w:val="center"/>
        </w:trPr>
        <w:tc>
          <w:tcPr>
            <w:tcW w:w="0" w:type="auto"/>
            <w:gridSpan w:val="5"/>
            <w:tcBorders>
              <w:top w:val="single" w:color="000000" w:sz="6" w:space="0"/>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43"/>
                <w:szCs w:val="43"/>
              </w:rPr>
              <w:t>个人转让非住宅相关税费计算表（核定征收）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jc w:val="center"/>
        </w:trPr>
        <w:tc>
          <w:tcPr>
            <w:tcW w:w="0" w:type="auto"/>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人</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税种</w:t>
            </w:r>
          </w:p>
        </w:tc>
        <w:tc>
          <w:tcPr>
            <w:tcW w:w="0" w:type="auto"/>
            <w:gridSpan w:val="2"/>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税费</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Style w:val="6"/>
                <w:rFonts w:hint="eastAsia" w:ascii="宋体" w:hAnsi="宋体" w:eastAsia="宋体" w:cs="宋体"/>
                <w:color w:val="000000"/>
                <w:sz w:val="31"/>
                <w:szCs w:val="3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0" w:type="auto"/>
            <w:vMerge w:val="restart"/>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方</w:t>
            </w:r>
          </w:p>
        </w:tc>
        <w:tc>
          <w:tcPr>
            <w:tcW w:w="0" w:type="auto"/>
            <w:vMerge w:val="restart"/>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增值税及附加</w:t>
            </w:r>
          </w:p>
        </w:tc>
        <w:tc>
          <w:tcPr>
            <w:tcW w:w="0" w:type="auto"/>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增值税</w:t>
            </w:r>
          </w:p>
        </w:tc>
        <w:tc>
          <w:tcPr>
            <w:tcW w:w="0" w:type="auto"/>
            <w:tcBorders>
              <w:top w:val="nil"/>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计税金额×5%</w:t>
            </w:r>
          </w:p>
        </w:tc>
        <w:tc>
          <w:tcPr>
            <w:tcW w:w="0" w:type="auto"/>
            <w:vMerge w:val="restart"/>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依据：合同时间为2019年1月1日（含）以后的，对增值税小规模纳税人减按50%征收附加税（包括城市维护建设税、地方教育费附加、教育费附加）。（财税﹝2019﹞13号）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依据：按月纳税的月销售额或营业额不超过10万元缴纳义务人免征教育费附加、地方教育费附加。（财税[2016]12号）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城市维护建设税</w:t>
            </w: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增值税额×7%</w:t>
            </w:r>
          </w:p>
        </w:tc>
        <w:tc>
          <w:tcPr>
            <w:tcW w:w="0" w:type="auto"/>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地方教育费附加</w:t>
            </w: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增值税额×3%</w:t>
            </w:r>
          </w:p>
        </w:tc>
        <w:tc>
          <w:tcPr>
            <w:tcW w:w="0" w:type="auto"/>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教育费附加</w:t>
            </w:r>
          </w:p>
        </w:tc>
        <w:tc>
          <w:tcPr>
            <w:tcW w:w="0" w:type="auto"/>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增值税额×2%</w:t>
            </w:r>
          </w:p>
        </w:tc>
        <w:tc>
          <w:tcPr>
            <w:tcW w:w="0" w:type="auto"/>
            <w:vMerge w:val="continue"/>
            <w:tcBorders>
              <w:top w:val="single" w:color="000000" w:sz="6" w:space="0"/>
              <w:left w:val="nil"/>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restart"/>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个人所得税</w:t>
            </w:r>
          </w:p>
        </w:tc>
        <w:tc>
          <w:tcPr>
            <w:tcW w:w="0" w:type="auto"/>
            <w:gridSpan w:val="2"/>
            <w:vMerge w:val="restart"/>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计税金额×1.5%</w:t>
            </w:r>
          </w:p>
        </w:tc>
        <w:tc>
          <w:tcPr>
            <w:tcW w:w="0" w:type="auto"/>
            <w:vMerge w:val="restart"/>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依据：国家税务总局福州市税务局《关于个人房屋转让所得税有关问题的公告》（2018年3号）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vMerge w:val="continue"/>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single" w:color="000000" w:sz="6" w:space="0"/>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土地增值税</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计税金额×6%</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依据：国家税务总局福建省税务局《关于土地增值税若干问题的公告》（2018年第21号）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0" w:hRule="atLeast"/>
          <w:jc w:val="center"/>
        </w:trPr>
        <w:tc>
          <w:tcPr>
            <w:tcW w:w="0" w:type="auto"/>
            <w:vMerge w:val="continue"/>
            <w:tcBorders>
              <w:top w:val="nil"/>
              <w:left w:val="single" w:color="000000" w:sz="6" w:space="0"/>
              <w:bottom w:val="nil"/>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印花税</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计税金额×0.05%</w:t>
            </w:r>
            <w:r>
              <w:rPr>
                <w:rStyle w:val="6"/>
                <w:rFonts w:hint="eastAsia" w:ascii="宋体" w:hAnsi="宋体" w:eastAsia="宋体" w:cs="宋体"/>
                <w:color w:val="000000"/>
                <w:sz w:val="24"/>
                <w:szCs w:val="24"/>
              </w:rPr>
              <w:t>/</w:t>
            </w:r>
            <w:r>
              <w:rPr>
                <w:rFonts w:hint="eastAsia" w:ascii="宋体" w:hAnsi="宋体" w:eastAsia="宋体" w:cs="宋体"/>
                <w:color w:val="000000"/>
                <w:sz w:val="24"/>
                <w:szCs w:val="24"/>
              </w:rPr>
              <w:t>0.025%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（对增值税小规模纳税人印花税减半征收）</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合同时间为2019年1月1日（含）以后的，对增值税小规模纳税人减按50%征收印花税。（财税﹝2019﹞13号）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方</w:t>
            </w: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契税</w:t>
            </w:r>
          </w:p>
        </w:tc>
        <w:tc>
          <w:tcPr>
            <w:tcW w:w="0" w:type="auto"/>
            <w:gridSpan w:val="2"/>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计税金额×3%</w:t>
            </w:r>
          </w:p>
        </w:tc>
        <w:tc>
          <w:tcPr>
            <w:tcW w:w="0" w:type="auto"/>
            <w:vMerge w:val="restart"/>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sz w:val="24"/>
                <w:szCs w:val="24"/>
              </w:rPr>
              <w:t>依据：福建省人民政府关于修改《福建省贯彻〈中华人民共和国契税暂行条例〉实施办法》中：第五条 契税的计税依据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gridSpan w:val="2"/>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Style w:val="6"/>
                <w:rFonts w:hint="eastAsia" w:ascii="宋体" w:hAnsi="宋体" w:eastAsia="宋体" w:cs="宋体"/>
                <w:color w:val="000000"/>
                <w:sz w:val="31"/>
                <w:szCs w:val="31"/>
              </w:rPr>
              <w:t>印花税</w:t>
            </w:r>
          </w:p>
        </w:tc>
        <w:tc>
          <w:tcPr>
            <w:tcW w:w="0" w:type="auto"/>
            <w:gridSpan w:val="2"/>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计税金额×0.05%</w:t>
            </w:r>
            <w:r>
              <w:rPr>
                <w:rStyle w:val="6"/>
                <w:rFonts w:hint="eastAsia" w:ascii="宋体" w:hAnsi="宋体" w:eastAsia="宋体" w:cs="宋体"/>
                <w:color w:val="000000"/>
                <w:sz w:val="24"/>
                <w:szCs w:val="24"/>
              </w:rPr>
              <w:t>/</w:t>
            </w:r>
            <w:r>
              <w:rPr>
                <w:rFonts w:hint="eastAsia" w:ascii="宋体" w:hAnsi="宋体" w:eastAsia="宋体" w:cs="宋体"/>
                <w:color w:val="000000"/>
                <w:sz w:val="24"/>
                <w:szCs w:val="24"/>
              </w:rPr>
              <w:t>0.025%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color w:val="000000"/>
                <w:sz w:val="24"/>
                <w:szCs w:val="24"/>
              </w:rPr>
              <w:t>（对增值税小规模纳税人印花税减半征收）</w:t>
            </w:r>
          </w:p>
        </w:tc>
        <w:tc>
          <w:tcPr>
            <w:tcW w:w="0" w:type="auto"/>
            <w:tcBorders>
              <w:top w:val="nil"/>
              <w:left w:val="nil"/>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合同时间为2019年1月1日（含）以后的，对增值税小规模纳税人减按50%征收印花税。（财税﹝2019﹞13号）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0" w:type="auto"/>
            <w:gridSpan w:val="5"/>
            <w:tcBorders>
              <w:top w:val="nil"/>
              <w:left w:val="single" w:color="000000" w:sz="6" w:space="0"/>
              <w:bottom w:val="single" w:color="000000" w:sz="6" w:space="0"/>
              <w:right w:val="single" w:color="000000" w:sz="6" w:space="0"/>
            </w:tcBorders>
            <w:shd w:val="clear" w:color="auto" w:fill="auto"/>
            <w:tcMar>
              <w:top w:w="15" w:type="dxa"/>
              <w:left w:w="45" w:type="dxa"/>
              <w:bottom w:w="15"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rPr>
                <w:rFonts w:hint="eastAsia" w:ascii="宋体" w:hAnsi="宋体" w:eastAsia="宋体" w:cs="宋体"/>
                <w:color w:val="000000"/>
                <w:sz w:val="24"/>
                <w:szCs w:val="24"/>
              </w:rPr>
              <w:t>注：1、个人转让非住宅(非自建)的，增值税按差额征收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000000"/>
                <w:sz w:val="24"/>
                <w:szCs w:val="24"/>
              </w:rPr>
              <w:t>2、在福州市不动产登记和交易中心因房屋转让产生的个人所得税、土地增值税是核定征收，若能提供购房发票申请按实征收请前往主管税务机关办理。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pPr>
            <w:r>
              <w:drawing>
                <wp:anchor distT="0" distB="0" distL="114300" distR="114300" simplePos="0" relativeHeight="251660288" behindDoc="1" locked="0" layoutInCell="1" allowOverlap="1">
                  <wp:simplePos x="0" y="0"/>
                  <wp:positionH relativeFrom="column">
                    <wp:posOffset>-325755</wp:posOffset>
                  </wp:positionH>
                  <wp:positionV relativeFrom="paragraph">
                    <wp:posOffset>165100</wp:posOffset>
                  </wp:positionV>
                  <wp:extent cx="5066665" cy="2561590"/>
                  <wp:effectExtent l="0" t="0" r="635" b="10160"/>
                  <wp:wrapNone/>
                  <wp:docPr id="22" name="图片 2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descr="IMG_263"/>
                          <pic:cNvPicPr>
                            <a:picLocks noChangeAspect="1"/>
                          </pic:cNvPicPr>
                        </pic:nvPicPr>
                        <pic:blipFill>
                          <a:blip r:embed="rId10"/>
                          <a:stretch>
                            <a:fillRect/>
                          </a:stretch>
                        </pic:blipFill>
                        <pic:spPr>
                          <a:xfrm>
                            <a:off x="0" y="0"/>
                            <a:ext cx="5066665" cy="2561590"/>
                          </a:xfrm>
                          <a:prstGeom prst="rect">
                            <a:avLst/>
                          </a:prstGeom>
                          <a:noFill/>
                          <a:ln w="9525">
                            <a:noFill/>
                          </a:ln>
                        </pic:spPr>
                      </pic:pic>
                    </a:graphicData>
                  </a:graphic>
                </wp:anchor>
              </w:drawing>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zc5OTA3MjQ2YWZjOTRmMDc2MWQ0MGU4OWQyMjUifQ=="/>
  </w:docVars>
  <w:rsids>
    <w:rsidRoot w:val="7C9F6782"/>
    <w:rsid w:val="108C705E"/>
    <w:rsid w:val="43E9017C"/>
    <w:rsid w:val="7C9F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1991</Words>
  <Characters>2195</Characters>
  <Lines>0</Lines>
  <Paragraphs>0</Paragraphs>
  <TotalTime>1</TotalTime>
  <ScaleCrop>false</ScaleCrop>
  <LinksUpToDate>false</LinksUpToDate>
  <CharactersWithSpaces>2207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2022-05-20T07:08:00Z</dcterms:created>
  <dc:creator>Administrator</dc:creator>
  <cp:lastModifiedBy>Administrator</cp:lastModifiedBy>
  <dcterms:modified xsi:type="dcterms:W3CDTF">2022-05-20T07:32:24Z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2E3BC14EA5E74D43B17329FC7CFDD681</vt:lpwstr>
  </property>
</Properties>
</file>